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E4" w:rsidRPr="005B43AA" w:rsidRDefault="006557A5" w:rsidP="00D0371A">
      <w:pPr>
        <w:pStyle w:val="Heading1"/>
        <w:spacing w:before="0" w:after="120" w:line="240" w:lineRule="auto"/>
        <w:jc w:val="center"/>
        <w:rPr>
          <w:rFonts w:ascii="Times New Roman" w:eastAsia="Times New Roman" w:hAnsi="Times New Roman" w:cs="Times New Roman"/>
          <w:color w:val="auto"/>
          <w:sz w:val="32"/>
          <w:szCs w:val="32"/>
        </w:rPr>
      </w:pPr>
      <w:r>
        <w:rPr>
          <w:rFonts w:ascii="Times New Roman" w:eastAsia="Times New Roman" w:hAnsi="Times New Roman" w:cs="Times New Roman"/>
          <w:color w:val="auto"/>
          <w:sz w:val="32"/>
          <w:szCs w:val="32"/>
        </w:rPr>
        <w:t>THUYẾT MINH</w:t>
      </w:r>
      <w:r w:rsidR="00037070" w:rsidRPr="005B43AA">
        <w:rPr>
          <w:rFonts w:ascii="Times New Roman" w:eastAsia="Times New Roman" w:hAnsi="Times New Roman" w:cs="Times New Roman"/>
          <w:color w:val="auto"/>
          <w:sz w:val="32"/>
          <w:szCs w:val="32"/>
        </w:rPr>
        <w:t xml:space="preserve"> KINH NGHIỆM QUỐC TẾ VỀ</w:t>
      </w:r>
      <w:r w:rsidR="00EE1CC3">
        <w:rPr>
          <w:rFonts w:ascii="Times New Roman" w:eastAsia="Times New Roman" w:hAnsi="Times New Roman" w:cs="Times New Roman"/>
          <w:color w:val="auto"/>
          <w:sz w:val="32"/>
          <w:szCs w:val="32"/>
        </w:rPr>
        <w:t xml:space="preserve"> VIỆC CHUYỂN ĐỔI SANG MÔ HÌNH QUẢN LÝ VỐN TRÊN CƠ SỞ RỦI RO</w:t>
      </w:r>
    </w:p>
    <w:p w:rsidR="000E4EE4" w:rsidRPr="005B43AA" w:rsidRDefault="00037070" w:rsidP="00D0371A">
      <w:pPr>
        <w:spacing w:after="120" w:line="240" w:lineRule="auto"/>
        <w:jc w:val="center"/>
        <w:rPr>
          <w:i/>
        </w:rPr>
      </w:pPr>
      <w:r w:rsidRPr="005B43AA">
        <w:rPr>
          <w:i/>
        </w:rPr>
        <w:t xml:space="preserve">(Tài liệu tham khảo để </w:t>
      </w:r>
      <w:r w:rsidR="00EE1CC3">
        <w:rPr>
          <w:i/>
        </w:rPr>
        <w:t>chuyển đổi</w:t>
      </w:r>
      <w:r w:rsidRPr="005B43AA">
        <w:rPr>
          <w:i/>
        </w:rPr>
        <w:t xml:space="preserve"> mô hình quản lý </w:t>
      </w:r>
      <w:r w:rsidR="00EE1CC3">
        <w:rPr>
          <w:i/>
        </w:rPr>
        <w:t>vốn trên cơ sở rủi ro phục vụ xây dựng dự án Luật sửa đổi, bổ sung một số điều của Luật Kinh doanh bảo hiểm</w:t>
      </w:r>
      <w:r w:rsidRPr="005B43AA">
        <w:rPr>
          <w:i/>
        </w:rPr>
        <w:t>)</w:t>
      </w:r>
    </w:p>
    <w:p w:rsidR="000E4EE4" w:rsidRPr="005B43AA" w:rsidRDefault="000E4EE4" w:rsidP="00D0371A">
      <w:pPr>
        <w:pStyle w:val="Heading1"/>
        <w:spacing w:before="0" w:after="120" w:line="240" w:lineRule="auto"/>
        <w:jc w:val="both"/>
        <w:rPr>
          <w:rFonts w:ascii="Times New Roman" w:eastAsia="Times New Roman" w:hAnsi="Times New Roman" w:cs="Times New Roman"/>
          <w:color w:val="auto"/>
          <w:sz w:val="32"/>
          <w:szCs w:val="32"/>
        </w:rPr>
      </w:pPr>
    </w:p>
    <w:p w:rsidR="00EE1CC3" w:rsidRDefault="00EE1CC3" w:rsidP="003931C4">
      <w:pPr>
        <w:shd w:val="clear" w:color="auto" w:fill="FFFFFF"/>
        <w:spacing w:before="120" w:after="120" w:line="240" w:lineRule="auto"/>
        <w:ind w:firstLine="720"/>
        <w:jc w:val="both"/>
      </w:pPr>
      <w:r>
        <w:t>Mô hình vốn trên cơ sở rủi ro</w:t>
      </w:r>
      <w:r w:rsidR="00334637">
        <w:t xml:space="preserve"> (RBC)</w:t>
      </w:r>
      <w:r>
        <w:t xml:space="preserve"> là một khung pháp lý, được xây dựng một cách toàn diện, nhằm đảm bảo rằng các công ty bảo hiểm duy trì mức vốn khả dụng phù hợp với hồ sơ rủi ro của họ để đảm bảo rằng doanh nghiệp có đủ nguồn lực tài chính để đối phó với những khó khăn tài chính. Đây là một trong ba trụ cột quan trọng của việc quản lý, giám sát trên cơ sở rủi ro, bên cạnh trụ cột về </w:t>
      </w:r>
      <w:r w:rsidRPr="00EE1CC3">
        <w:t>báo cáo đánh giá khả năng thanh toán và quản trị rủi ro</w:t>
      </w:r>
      <w:r>
        <w:t xml:space="preserve"> và công khai thông tin. </w:t>
      </w:r>
      <w:r w:rsidR="00334637">
        <w:t xml:space="preserve">Việc </w:t>
      </w:r>
      <w:r>
        <w:t xml:space="preserve">chuyển đổi sang </w:t>
      </w:r>
      <w:r w:rsidR="00334637">
        <w:t xml:space="preserve">mô hình </w:t>
      </w:r>
      <w:proofErr w:type="gramStart"/>
      <w:r w:rsidR="00334637">
        <w:t xml:space="preserve">RBC </w:t>
      </w:r>
      <w:r>
        <w:t xml:space="preserve"> nhằm</w:t>
      </w:r>
      <w:proofErr w:type="gramEnd"/>
      <w:r>
        <w:t xml:space="preserve"> nâng cao </w:t>
      </w:r>
      <w:r w:rsidR="00334637">
        <w:t>an toàn tài chính</w:t>
      </w:r>
      <w:r>
        <w:t xml:space="preserve"> của ngành </w:t>
      </w:r>
      <w:r w:rsidR="00334637">
        <w:t>bảo hiểm</w:t>
      </w:r>
      <w:r>
        <w:t xml:space="preserve"> và hỗ trợ quá trình chuyển đổi sang giám sát dựa trên rủi ro. </w:t>
      </w:r>
    </w:p>
    <w:p w:rsidR="00334637" w:rsidRPr="00334637" w:rsidRDefault="009D0CD4" w:rsidP="003931C4">
      <w:pPr>
        <w:shd w:val="clear" w:color="auto" w:fill="FFFFFF"/>
        <w:spacing w:before="120" w:after="120" w:line="240" w:lineRule="auto"/>
        <w:ind w:firstLine="720"/>
        <w:jc w:val="both"/>
        <w:rPr>
          <w:b/>
        </w:rPr>
      </w:pPr>
      <w:r>
        <w:rPr>
          <w:b/>
        </w:rPr>
        <w:t>I</w:t>
      </w:r>
      <w:r w:rsidR="00334637" w:rsidRPr="00334637">
        <w:rPr>
          <w:b/>
        </w:rPr>
        <w:t>. CÁC YẾU TỐ CẤU THÀNH KHUÔN KHỔ VỐN TRÊN CƠ SỞ RỦI RO</w:t>
      </w:r>
    </w:p>
    <w:p w:rsidR="00334637" w:rsidRDefault="007E3F9B" w:rsidP="003931C4">
      <w:pPr>
        <w:shd w:val="clear" w:color="auto" w:fill="FFFFFF"/>
        <w:spacing w:before="120" w:after="120" w:line="240" w:lineRule="auto"/>
        <w:ind w:firstLine="720"/>
        <w:jc w:val="both"/>
      </w:pPr>
      <w:r>
        <w:t>Quy định về vốn trên cơ sở rủi ro bao gồm các quy định cơ bản về</w:t>
      </w:r>
      <w:r w:rsidRPr="007E3F9B">
        <w:t xml:space="preserve"> các yêu cầu </w:t>
      </w:r>
      <w:r>
        <w:t xml:space="preserve">tính toán mức vốn cần thiết </w:t>
      </w:r>
      <w:r w:rsidRPr="007E3F9B">
        <w:t>dựa trên công thức</w:t>
      </w:r>
      <w:r>
        <w:t xml:space="preserve"> hoặc </w:t>
      </w:r>
      <w:r w:rsidRPr="007E3F9B">
        <w:t xml:space="preserve">dựa trên các mô hình tiêu chuẩn hoặc mô hình nội bộ được sử dụng bởi các công ty bảo hiểm cho </w:t>
      </w:r>
      <w:r>
        <w:t xml:space="preserve">mục đích quản lý rủi ro nội bộ. </w:t>
      </w:r>
      <w:proofErr w:type="gramStart"/>
      <w:r>
        <w:t>Khuôn khổ vốn trên cơ sở rủi ro</w:t>
      </w:r>
      <w:r w:rsidRPr="007E3F9B">
        <w:t xml:space="preserve"> phù hợp cho một </w:t>
      </w:r>
      <w:r>
        <w:t>thị trường bảo hiểm</w:t>
      </w:r>
      <w:r w:rsidRPr="007E3F9B">
        <w:t xml:space="preserve"> tại một thời điểm nhất định sẽ phụ thuộc vào bản chất, quy mô và độ phức tạp của điều kiện thị trường, cấu trúc của ngành bảo hiểm.</w:t>
      </w:r>
      <w:proofErr w:type="gramEnd"/>
    </w:p>
    <w:p w:rsidR="007E3F9B" w:rsidRDefault="007E3F9B" w:rsidP="003931C4">
      <w:pPr>
        <w:shd w:val="clear" w:color="auto" w:fill="FFFFFF"/>
        <w:spacing w:before="120" w:after="120" w:line="240" w:lineRule="auto"/>
        <w:ind w:firstLine="720"/>
        <w:jc w:val="both"/>
      </w:pPr>
      <w:r>
        <w:t xml:space="preserve">Để xây dựng </w:t>
      </w:r>
      <w:r w:rsidR="00526A6C">
        <w:t>mô hình RBC</w:t>
      </w:r>
      <w:r>
        <w:t>, cần quan tâm đến nhiều yếu tố khác nhau bao gồm cả định tính, định lượng và việc công khai thông tin, cụ thể là:</w:t>
      </w:r>
    </w:p>
    <w:p w:rsidR="007E3F9B" w:rsidRDefault="007E3F9B" w:rsidP="003931C4">
      <w:pPr>
        <w:shd w:val="clear" w:color="auto" w:fill="FFFFFF"/>
        <w:spacing w:before="120" w:after="120" w:line="240" w:lineRule="auto"/>
        <w:ind w:firstLine="720"/>
        <w:jc w:val="both"/>
      </w:pPr>
      <w:r>
        <w:t xml:space="preserve">(i) Các yếu tố định lượng bao gồm cơ sở định giá cho tài sản và nợ phải trả (bao gồm các quy định về dự phòng </w:t>
      </w:r>
      <w:r w:rsidR="005F7001">
        <w:t xml:space="preserve">nghiệp vụ </w:t>
      </w:r>
      <w:r>
        <w:t>hoặc trách nhiệm bảo hiểm), cách xử lý các khoản đầu tư (các loại tài sản được phép và không được phép đầu tư), việc tính toán các yêu cầu về vốn đối với từng rủi ro khác nhau, việc công nhận các nguồn vốn (theo từng loại, kỳ hạn và đặc điểm) và kết quả tính toán khả năng thanh toán. Các yêu cầu định lượng cũng bao gồm việc thực hiện quy định về quản trị rủi ro, kiểm tra tình hình tài chính lành mạnh của công ty bảo hiểm trong một khoảng thời gian nhất định bằng cách sử dụng nhiều kịch bản khác nhau để đảm bảo sự ổn định và thanh toán trong dài hạn.</w:t>
      </w:r>
    </w:p>
    <w:p w:rsidR="007E3F9B" w:rsidRDefault="007E3F9B" w:rsidP="003931C4">
      <w:pPr>
        <w:shd w:val="clear" w:color="auto" w:fill="FFFFFF"/>
        <w:spacing w:before="120" w:after="120" w:line="240" w:lineRule="auto"/>
        <w:ind w:firstLine="720"/>
        <w:jc w:val="both"/>
      </w:pPr>
      <w:r>
        <w:t>(ii) C</w:t>
      </w:r>
      <w:r w:rsidR="009D0CD4">
        <w:t>ác yế</w:t>
      </w:r>
      <w:r>
        <w:t xml:space="preserve">u tố định tính bao gồm khung quản trị, bao gồm các vai trò và trách nhiệm giám sát của hội đồng quản trị, ban quản lý cấp cao và người đứng đầu các chức năng kiểm soát; các cấu trúc quản trị như hệ thống quản lý rủi ro, hệ thống kiểm soát nội bộ và các chức năng kiểm soát. </w:t>
      </w:r>
      <w:proofErr w:type="gramStart"/>
      <w:r>
        <w:t>Các yếu tố khác cần được bao gồm trong các yêu cầu quy định định tính bao gồm quản trị rủi ro và các biện pháp giảm thiểu rủi ro như tái bảo hiểm.</w:t>
      </w:r>
      <w:proofErr w:type="gramEnd"/>
    </w:p>
    <w:p w:rsidR="007E3F9B" w:rsidRDefault="007E3F9B" w:rsidP="003931C4">
      <w:pPr>
        <w:shd w:val="clear" w:color="auto" w:fill="FFFFFF"/>
        <w:spacing w:before="120" w:after="120" w:line="240" w:lineRule="auto"/>
        <w:ind w:firstLine="720"/>
        <w:jc w:val="both"/>
      </w:pPr>
      <w:r>
        <w:t xml:space="preserve">(iii) Yêu cầu về công khai thông tin liên quan đến cả thông tin định tính và định lượng. Điều này giúp cơ quan quản lý nhà nước kết hợp các yêu cầu </w:t>
      </w:r>
      <w:r>
        <w:lastRenderedPageBreak/>
        <w:t>định tính và định lượng để giám sát việc tuân thủ các quy định pháp luật mà còn để thực hiện đánh giá rủi ro đối với một công ty bảo hiểm.</w:t>
      </w:r>
    </w:p>
    <w:p w:rsidR="007E3F9B" w:rsidRDefault="009D0CD4" w:rsidP="003931C4">
      <w:pPr>
        <w:shd w:val="clear" w:color="auto" w:fill="FFFFFF"/>
        <w:spacing w:before="120" w:after="120" w:line="240" w:lineRule="auto"/>
        <w:ind w:firstLine="720"/>
        <w:jc w:val="both"/>
      </w:pPr>
      <w:r>
        <w:t>N</w:t>
      </w:r>
      <w:r w:rsidR="007E3F9B">
        <w:t>ghiên cứu về</w:t>
      </w:r>
      <w:r>
        <w:t xml:space="preserve"> khuôn khổ</w:t>
      </w:r>
      <w:r w:rsidR="007E3F9B">
        <w:t xml:space="preserve"> vốn trên cơ sở rủi ro của các quốc gia trên thế giới, </w:t>
      </w:r>
      <w:r>
        <w:t xml:space="preserve">dự kiến </w:t>
      </w:r>
      <w:r w:rsidR="001250D7">
        <w:t xml:space="preserve">việc nghiên cứu xây dựng và triển khai </w:t>
      </w:r>
      <w:r>
        <w:t xml:space="preserve">mô hình </w:t>
      </w:r>
      <w:r w:rsidR="001250D7">
        <w:t>RBC tại Việt Nam sẽ</w:t>
      </w:r>
      <w:r>
        <w:t xml:space="preserve"> như sau:</w:t>
      </w:r>
    </w:p>
    <w:p w:rsidR="001250D7" w:rsidRPr="001250D7" w:rsidRDefault="001250D7" w:rsidP="001250D7">
      <w:pPr>
        <w:spacing w:before="120" w:after="120"/>
        <w:ind w:firstLine="720"/>
        <w:jc w:val="both"/>
        <w:rPr>
          <w:b/>
        </w:rPr>
      </w:pPr>
      <w:r w:rsidRPr="001250D7">
        <w:rPr>
          <w:b/>
        </w:rPr>
        <w:t>1. Quá trình xây dựng mô hình RBC</w:t>
      </w:r>
    </w:p>
    <w:p w:rsidR="001250D7" w:rsidRDefault="001250D7" w:rsidP="001250D7">
      <w:pPr>
        <w:spacing w:before="120" w:after="120"/>
        <w:ind w:firstLine="720"/>
        <w:jc w:val="both"/>
      </w:pPr>
      <w:r>
        <w:t>Trên cơ sở nghiên cứu</w:t>
      </w:r>
      <w:r w:rsidRPr="00153103">
        <w:t xml:space="preserve"> các mô hình/hệ thống vốn trên</w:t>
      </w:r>
      <w:r>
        <w:t xml:space="preserve"> cơ sở</w:t>
      </w:r>
      <w:r w:rsidRPr="00153103">
        <w:t xml:space="preserve"> rủi ro </w:t>
      </w:r>
      <w:r>
        <w:t xml:space="preserve">trên thế giới, cơ quan quản lý sẽ phải lựa chọn phương pháp phù hợp nhất cho từng loại rủi ro. Sau khi cân nhắc, xác định hệ số rủi ro phù hợp với đặc điểm của ngành bảo hiểm Việt Nam, cơ quan quản lý phải thu thập dữ liệu từ các DNBH trên thị trường để đánh giá khả năng tạo ra một tập hợp các hệ số rủi ro phù hợp được mô hình hóa dựa trên dữ liệu của thị trường bảo hiểm Việt Nam. </w:t>
      </w:r>
      <w:proofErr w:type="gramStart"/>
      <w:r>
        <w:t>Các hệ số rủi ro sơ bộ</w:t>
      </w:r>
      <w:r w:rsidRPr="00153103">
        <w:t xml:space="preserve"> cuối cùng được mô hình hóa và lựa chọn, đã bao gồm quá trình xem xét độ tin cậy và tính hợp lý của dữ liệu khi so sánh với các mô hình vốn dựa trên rủi ro khác</w:t>
      </w:r>
      <w:r>
        <w:t>.</w:t>
      </w:r>
      <w:proofErr w:type="gramEnd"/>
    </w:p>
    <w:p w:rsidR="001250D7" w:rsidRDefault="001250D7" w:rsidP="001250D7">
      <w:pPr>
        <w:spacing w:before="120" w:after="120"/>
        <w:ind w:firstLine="720"/>
        <w:jc w:val="both"/>
      </w:pPr>
      <w:r>
        <w:t>Việc xây dựng mô hình RBC sẽ thường trải qua 07 bước: Thu thập dữ liệu, sắp xếp dữ liệu, xác định hệ số rủi ro, xây dựng Biểu mẫu, thực hiện đánh giá tác động định lượng, tham vấn cơ quan quản lý và hoàn thiện Biểu mẫu. Cụ thể là:</w:t>
      </w:r>
    </w:p>
    <w:p w:rsidR="001250D7" w:rsidRDefault="001250D7" w:rsidP="001250D7">
      <w:pPr>
        <w:spacing w:before="120" w:after="120"/>
        <w:ind w:firstLine="720"/>
        <w:jc w:val="both"/>
      </w:pPr>
      <w:r>
        <w:t xml:space="preserve">(i) Thu thập dữ liệu: </w:t>
      </w:r>
      <w:r w:rsidRPr="007067C8">
        <w:t xml:space="preserve">Việc </w:t>
      </w:r>
      <w:proofErr w:type="gramStart"/>
      <w:r w:rsidRPr="007067C8">
        <w:t>thu</w:t>
      </w:r>
      <w:proofErr w:type="gramEnd"/>
      <w:r w:rsidRPr="007067C8">
        <w:t xml:space="preserve"> thập dữ liệu lịch sử về các hệ số rủi ro chủ yếu liên quan đến dữ liệu kinh tế vĩ mô và dữ liệu của từng </w:t>
      </w:r>
      <w:r>
        <w:t>DNBH</w:t>
      </w:r>
      <w:r w:rsidRPr="007067C8">
        <w:t xml:space="preserve">. Dữ liệu kinh tế </w:t>
      </w:r>
      <w:proofErr w:type="gramStart"/>
      <w:r w:rsidRPr="007067C8">
        <w:t>vĩ</w:t>
      </w:r>
      <w:proofErr w:type="gramEnd"/>
      <w:r w:rsidRPr="007067C8">
        <w:t xml:space="preserve"> mô bao gồm chỉ số giá cổ phiếu, l</w:t>
      </w:r>
      <w:r>
        <w:t>ãi</w:t>
      </w:r>
      <w:r w:rsidRPr="007067C8">
        <w:t xml:space="preserve"> suất trái phiếu, chỉ số giá bất động sản, tỷ giá hối đoái và chỉ số giá tiêu dùng. </w:t>
      </w:r>
      <w:proofErr w:type="gramStart"/>
      <w:r w:rsidRPr="007067C8">
        <w:t xml:space="preserve">Dữ liệu của </w:t>
      </w:r>
      <w:r>
        <w:t>DNBH</w:t>
      </w:r>
      <w:r w:rsidRPr="007067C8">
        <w:t xml:space="preserve"> bao gồm tỷ lệ</w:t>
      </w:r>
      <w:r>
        <w:t xml:space="preserve"> hợp đồng</w:t>
      </w:r>
      <w:r w:rsidRPr="007067C8">
        <w:t xml:space="preserve"> mất hiệu lực, tỷ lệ chi phí, tỷ lệ mắc bệnh, tỷ lệ tổn thất và dữ liệu kinh nghiệm khác.</w:t>
      </w:r>
      <w:proofErr w:type="gramEnd"/>
      <w:r w:rsidRPr="007067C8">
        <w:t xml:space="preserve"> Trong </w:t>
      </w:r>
      <w:r>
        <w:t xml:space="preserve">đó, tỷ lệ tử vong </w:t>
      </w:r>
      <w:proofErr w:type="gramStart"/>
      <w:r>
        <w:t>chung</w:t>
      </w:r>
      <w:proofErr w:type="gramEnd"/>
      <w:r>
        <w:t xml:space="preserve"> của Việt Nam</w:t>
      </w:r>
      <w:r w:rsidRPr="007067C8">
        <w:t xml:space="preserve"> làm nguồn dữ liệu cho rủi ro tử vong. </w:t>
      </w:r>
    </w:p>
    <w:p w:rsidR="001250D7" w:rsidRDefault="001250D7" w:rsidP="001250D7">
      <w:pPr>
        <w:spacing w:before="120" w:after="120"/>
        <w:ind w:firstLine="720"/>
        <w:jc w:val="both"/>
      </w:pPr>
      <w:r>
        <w:t>(ii) Tổ chức/sắp xếp dữ liệu: Dữ liệu được làm sạch và hợp nhất sau khi xác định khả năng sử dụng của dữ liệu được cung cấp.</w:t>
      </w:r>
    </w:p>
    <w:p w:rsidR="001250D7" w:rsidRPr="00C66A4A" w:rsidRDefault="001250D7" w:rsidP="001250D7">
      <w:pPr>
        <w:spacing w:before="120" w:after="120"/>
        <w:ind w:firstLine="720"/>
        <w:jc w:val="both"/>
      </w:pPr>
      <w:r>
        <w:t xml:space="preserve">(iii) Xác định hệ số rủi ro: </w:t>
      </w:r>
      <w:r w:rsidRPr="00C66A4A">
        <w:t xml:space="preserve">Dựa trên dữ liệu đã được làm sạch, </w:t>
      </w:r>
      <w:r>
        <w:t>các chuyên gia đã</w:t>
      </w:r>
      <w:r w:rsidRPr="00C66A4A">
        <w:t xml:space="preserve"> sử dụng Giá trị rủi ro (Value at Risk_VaR) để tạo ra các kịch bản kiểm tra sức chịu đựng hoặc các hệ số rủi ro cho từng rủi ro. Kịch bản của từng rủi ro được xác định bởi hai tham số sau:</w:t>
      </w:r>
    </w:p>
    <w:p w:rsidR="001250D7" w:rsidRPr="00C66A4A" w:rsidRDefault="001250D7" w:rsidP="001250D7">
      <w:pPr>
        <w:spacing w:before="120" w:after="120"/>
        <w:ind w:firstLine="720"/>
        <w:jc w:val="both"/>
      </w:pPr>
      <w:r>
        <w:t xml:space="preserve">- </w:t>
      </w:r>
      <w:r w:rsidRPr="00C66A4A">
        <w:t>Mức độ tin cậy (Confidence Level_CL)</w:t>
      </w:r>
      <w:r>
        <w:t>:</w:t>
      </w:r>
      <w:r w:rsidRPr="00C66A4A">
        <w:t xml:space="preserve"> 95%, 99% và 99</w:t>
      </w:r>
      <w:proofErr w:type="gramStart"/>
      <w:r w:rsidRPr="00C66A4A">
        <w:t>,5</w:t>
      </w:r>
      <w:proofErr w:type="gramEnd"/>
      <w:r w:rsidRPr="00C66A4A">
        <w:t xml:space="preserve">%. </w:t>
      </w:r>
      <w:proofErr w:type="gramStart"/>
      <w:r w:rsidRPr="00C66A4A">
        <w:t>Các hệ số rủi ro tương ứng được tạo ra để công ty bảo hiểm tính toán vốn rủi ro.</w:t>
      </w:r>
      <w:proofErr w:type="gramEnd"/>
    </w:p>
    <w:p w:rsidR="001250D7" w:rsidRDefault="001250D7" w:rsidP="001250D7">
      <w:pPr>
        <w:spacing w:before="120" w:after="120"/>
        <w:ind w:firstLine="720"/>
        <w:jc w:val="both"/>
      </w:pPr>
      <w:r>
        <w:t xml:space="preserve">- </w:t>
      </w:r>
      <w:r w:rsidRPr="00C66A4A">
        <w:t>Khoảng thời gian</w:t>
      </w:r>
      <w:r>
        <w:t>: 01 năm.</w:t>
      </w:r>
    </w:p>
    <w:p w:rsidR="001250D7" w:rsidRPr="00C66A4A" w:rsidRDefault="001250D7" w:rsidP="001250D7">
      <w:pPr>
        <w:spacing w:before="120" w:after="120"/>
        <w:ind w:firstLine="720"/>
        <w:jc w:val="both"/>
      </w:pPr>
      <w:proofErr w:type="gramStart"/>
      <w:r>
        <w:lastRenderedPageBreak/>
        <w:t>(iv) Biểu</w:t>
      </w:r>
      <w:proofErr w:type="gramEnd"/>
      <w:r>
        <w:t xml:space="preserve"> mẫu </w:t>
      </w:r>
      <w:r w:rsidR="00CF37FB">
        <w:t xml:space="preserve">báo cáo </w:t>
      </w:r>
      <w:r>
        <w:t xml:space="preserve">RBC: </w:t>
      </w:r>
      <w:r w:rsidRPr="00C66A4A">
        <w:t xml:space="preserve">Sau khi tạo các hệ số rủi ro, Biểu mẫu </w:t>
      </w:r>
      <w:r w:rsidR="00CF37FB">
        <w:t xml:space="preserve">báo cáo </w:t>
      </w:r>
      <w:r w:rsidRPr="00C66A4A">
        <w:t>RBC sơ bộ được hoàn thiện. Các phương pháp được sử dụng trong RBC để tính toán vốn rủi ro chủ yếu được chia thành hai loại sau:</w:t>
      </w:r>
    </w:p>
    <w:p w:rsidR="001250D7" w:rsidRPr="00C66A4A" w:rsidRDefault="001250D7" w:rsidP="001250D7">
      <w:pPr>
        <w:spacing w:before="120" w:after="120"/>
        <w:ind w:firstLine="720"/>
        <w:jc w:val="both"/>
      </w:pPr>
      <w:r>
        <w:t xml:space="preserve">- Phương pháp tính toán dựa trên kịch bản: </w:t>
      </w:r>
      <w:r w:rsidRPr="00C66A4A">
        <w:t>Rủi ro tài sản/nợ phải trả</w:t>
      </w:r>
      <w:r>
        <w:t xml:space="preserve"> không tương ứng</w:t>
      </w:r>
      <w:r w:rsidRPr="00C66A4A">
        <w:t xml:space="preserve"> (Rủi ro lãi suất)</w:t>
      </w:r>
      <w:r>
        <w:t>. Cách thức tính toán vốn trên cơ sở rủi ro như sau:</w:t>
      </w:r>
    </w:p>
    <w:p w:rsidR="001250D7" w:rsidRPr="00C66A4A" w:rsidRDefault="001250D7" w:rsidP="001250D7">
      <w:pPr>
        <w:spacing w:before="120" w:after="120"/>
        <w:ind w:firstLine="720"/>
        <w:jc w:val="both"/>
      </w:pPr>
      <w:r w:rsidRPr="00C66A4A">
        <w:t>Vốn rủi ro = Max (</w:t>
      </w:r>
      <m:oMath>
        <m:r>
          <m:rPr>
            <m:sty m:val="p"/>
          </m:rPr>
          <w:rPr>
            <w:rFonts w:ascii="Cambria Math" w:hAnsi="Cambria Math"/>
          </w:rPr>
          <m:t>∆</m:t>
        </m:r>
        <m:sSubSup>
          <m:sSubSupPr>
            <m:ctrlPr>
              <w:rPr>
                <w:rFonts w:ascii="Cambria Math" w:hAnsi="Cambria Math"/>
              </w:rPr>
            </m:ctrlPr>
          </m:sSubSupPr>
          <m:e>
            <m:r>
              <w:rPr>
                <w:rFonts w:ascii="Cambria Math" w:hAnsi="Cambria Math"/>
              </w:rPr>
              <m:t>NAV</m:t>
            </m:r>
          </m:e>
          <m:sub/>
          <m:sup>
            <m:r>
              <w:rPr>
                <w:rFonts w:ascii="Cambria Math" w:hAnsi="Cambria Math"/>
              </w:rPr>
              <m:t>Up</m:t>
            </m:r>
          </m:sup>
        </m:sSubSup>
      </m:oMath>
      <w:proofErr w:type="gramStart"/>
      <w:r w:rsidRPr="00C66A4A">
        <w:t xml:space="preserve">, </w:t>
      </w:r>
      <m:oMath>
        <w:proofErr w:type="gramEnd"/>
        <m:r>
          <m:rPr>
            <m:sty m:val="p"/>
          </m:rPr>
          <w:rPr>
            <w:rFonts w:ascii="Cambria Math" w:hAnsi="Cambria Math"/>
          </w:rPr>
          <m:t>∆</m:t>
        </m:r>
        <m:sSubSup>
          <m:sSubSupPr>
            <m:ctrlPr>
              <w:rPr>
                <w:rFonts w:ascii="Cambria Math" w:hAnsi="Cambria Math"/>
              </w:rPr>
            </m:ctrlPr>
          </m:sSubSupPr>
          <m:e>
            <m:r>
              <w:rPr>
                <w:rFonts w:ascii="Cambria Math" w:hAnsi="Cambria Math"/>
              </w:rPr>
              <m:t>NAV</m:t>
            </m:r>
          </m:e>
          <m:sub/>
          <m:sup>
            <m:r>
              <w:rPr>
                <w:rFonts w:ascii="Cambria Math" w:hAnsi="Cambria Math"/>
              </w:rPr>
              <m:t>Down</m:t>
            </m:r>
          </m:sup>
        </m:sSubSup>
      </m:oMath>
      <w:r w:rsidRPr="00C66A4A">
        <w:t>)</w:t>
      </w:r>
    </w:p>
    <w:p w:rsidR="001250D7" w:rsidRDefault="001250D7" w:rsidP="001250D7">
      <w:pPr>
        <w:spacing w:before="120" w:after="120"/>
        <w:ind w:firstLine="720"/>
        <w:jc w:val="both"/>
      </w:pPr>
      <w:r>
        <w:t>- Phương pháp hệ số rủi ro: Các r</w:t>
      </w:r>
      <w:r w:rsidRPr="00C66A4A">
        <w:t>ủi ro khác</w:t>
      </w:r>
      <w:r>
        <w:t>.</w:t>
      </w:r>
      <w:r w:rsidRPr="001250D7">
        <w:t xml:space="preserve"> </w:t>
      </w:r>
      <w:r>
        <w:t>Cách thức tính toán vốn trên cơ sở rủi ro như sau:</w:t>
      </w:r>
    </w:p>
    <w:p w:rsidR="001250D7" w:rsidRPr="00C66A4A" w:rsidRDefault="001250D7" w:rsidP="001250D7">
      <w:pPr>
        <w:spacing w:before="120" w:after="120"/>
        <w:ind w:firstLine="720"/>
        <w:jc w:val="both"/>
      </w:pPr>
      <w:r w:rsidRPr="00C66A4A">
        <w:t xml:space="preserve">Vốn rủi ro = Hệ số rủi ro x Giá trị chịu rủi ro </w:t>
      </w:r>
    </w:p>
    <w:p w:rsidR="001250D7" w:rsidRDefault="001250D7" w:rsidP="001250D7">
      <w:pPr>
        <w:spacing w:before="120" w:after="120"/>
        <w:ind w:firstLine="720"/>
        <w:jc w:val="both"/>
      </w:pPr>
      <w:proofErr w:type="gramStart"/>
      <w:r>
        <w:t>Sử dụng c</w:t>
      </w:r>
      <w:r w:rsidRPr="00C66A4A">
        <w:t>ác mô hình và phương pháp luận cho từng rủi ro</w:t>
      </w:r>
      <w:r>
        <w:t xml:space="preserve"> cụ thể.</w:t>
      </w:r>
      <w:proofErr w:type="gramEnd"/>
      <w:r>
        <w:t xml:space="preserve"> </w:t>
      </w:r>
      <w:proofErr w:type="gramStart"/>
      <w:r>
        <w:t>Nguyên tắc cốt lõi để</w:t>
      </w:r>
      <w:r w:rsidRPr="008C555F">
        <w:t xml:space="preserve"> quyết định các kịch bản rủi ro hoặc hệ số rủi ro là sử dụng</w:t>
      </w:r>
      <w:r>
        <w:t xml:space="preserve"> tối đa</w:t>
      </w:r>
      <w:r w:rsidRPr="008C555F">
        <w:t xml:space="preserve"> kết quả được mô hình hóa từ dữ liệu được cung cấp.</w:t>
      </w:r>
      <w:proofErr w:type="gramEnd"/>
      <w:r w:rsidRPr="008C555F">
        <w:t xml:space="preserve"> Tuy nhiên, do những thách thức về dữ liệu, </w:t>
      </w:r>
      <w:r w:rsidR="00EE1CCA">
        <w:t>có thể phải giới hạn</w:t>
      </w:r>
      <w:r w:rsidRPr="008C555F">
        <w:t xml:space="preserve"> các kịch bản hoặc yếu tố rủi ro bằng cách tham khảo kịch bản rủi ro tương ứng và các yếu tố từ các hệ thống khả năng thanh toán khác như Solvency II, ICS, Singapore RBC và Đài Loan RBC. Mục đích là để </w:t>
      </w:r>
      <w:r w:rsidR="00EE1CCA">
        <w:t>tránh</w:t>
      </w:r>
      <w:r w:rsidRPr="008C555F">
        <w:t xml:space="preserve"> việc áp đặt các hệ số rủi ro cao một cách bất hợp lý do kết quả được mô hình hóa của dữ liệu có tính biến động cao hoặc không nhất quán.</w:t>
      </w:r>
    </w:p>
    <w:p w:rsidR="001250D7" w:rsidRDefault="001250D7" w:rsidP="001250D7">
      <w:pPr>
        <w:spacing w:before="120" w:after="120"/>
        <w:ind w:firstLine="720"/>
        <w:jc w:val="both"/>
      </w:pPr>
      <w:r>
        <w:t xml:space="preserve">- </w:t>
      </w:r>
      <w:r w:rsidRPr="008C555F">
        <w:t>Sau khi các kịch bản hoặc hệ số rủi ro được mô hình hóa và kiểm tra tính hợp lý, chúng có thể được liên kết vào mẫu RBC và sử dụng trực tiếp (trừ rủi ro bảo hiểm nhân thọ).</w:t>
      </w:r>
    </w:p>
    <w:p w:rsidR="001250D7" w:rsidRDefault="001250D7" w:rsidP="001250D7">
      <w:pPr>
        <w:spacing w:before="120" w:after="120"/>
        <w:ind w:firstLine="720"/>
        <w:jc w:val="both"/>
      </w:pPr>
      <w:r>
        <w:t xml:space="preserve">- </w:t>
      </w:r>
      <w:r w:rsidRPr="008C555F">
        <w:t>Cách tiếp cận hệ số rủi ro đối với rủi ro bảo hiểm nhân thọ đòi hỏi phải chuyển đổi các kịch bản rủi ro được mô hình hóa thành hệ số rủi ro được mô hình hóa.</w:t>
      </w:r>
    </w:p>
    <w:p w:rsidR="001250D7" w:rsidRDefault="00EE1CCA" w:rsidP="001250D7">
      <w:pPr>
        <w:spacing w:before="120" w:after="120"/>
        <w:ind w:firstLine="720"/>
        <w:jc w:val="both"/>
      </w:pPr>
      <w:r>
        <w:t>(v)</w:t>
      </w:r>
      <w:r w:rsidR="001250D7">
        <w:t xml:space="preserve"> Thực hiện </w:t>
      </w:r>
      <w:r>
        <w:t xml:space="preserve">các bài </w:t>
      </w:r>
      <w:r w:rsidR="001250D7">
        <w:t>đánh giá tác</w:t>
      </w:r>
      <w:r>
        <w:t xml:space="preserve"> động định lượng (QIS) để xem khả năng đáp ứng của thị trường bảo hiểm</w:t>
      </w:r>
    </w:p>
    <w:p w:rsidR="001250D7" w:rsidRDefault="00EE1CCA" w:rsidP="001250D7">
      <w:pPr>
        <w:spacing w:before="120" w:after="120"/>
        <w:ind w:firstLine="720"/>
        <w:jc w:val="both"/>
      </w:pPr>
      <w:proofErr w:type="gramStart"/>
      <w:r>
        <w:t>(vi)</w:t>
      </w:r>
      <w:r w:rsidR="001250D7">
        <w:t xml:space="preserve"> Tham</w:t>
      </w:r>
      <w:proofErr w:type="gramEnd"/>
      <w:r w:rsidR="001250D7">
        <w:t xml:space="preserve"> vấn</w:t>
      </w:r>
      <w:r w:rsidR="00526A6C">
        <w:t xml:space="preserve"> ý kiến của các bên liên quan</w:t>
      </w:r>
      <w:r w:rsidR="001250D7">
        <w:t>.</w:t>
      </w:r>
    </w:p>
    <w:p w:rsidR="001250D7" w:rsidRPr="008C555F" w:rsidRDefault="00526A6C" w:rsidP="001250D7">
      <w:pPr>
        <w:spacing w:before="120" w:after="120"/>
        <w:ind w:firstLine="720"/>
        <w:jc w:val="both"/>
      </w:pPr>
      <w:r>
        <w:t>(vii)</w:t>
      </w:r>
      <w:r w:rsidR="001250D7">
        <w:t xml:space="preserve"> Hoàn thiện mô hình RBC sơ bộ</w:t>
      </w:r>
    </w:p>
    <w:p w:rsidR="00526A6C" w:rsidRPr="00DB33B8" w:rsidRDefault="00526A6C" w:rsidP="00526A6C">
      <w:pPr>
        <w:spacing w:before="120" w:after="120"/>
        <w:ind w:firstLine="720"/>
        <w:jc w:val="both"/>
        <w:rPr>
          <w:b/>
        </w:rPr>
      </w:pPr>
      <w:r w:rsidRPr="00DB33B8">
        <w:rPr>
          <w:b/>
        </w:rPr>
        <w:t xml:space="preserve">2. </w:t>
      </w:r>
      <w:r>
        <w:rPr>
          <w:b/>
        </w:rPr>
        <w:t>Các thành phần dự kiến của m</w:t>
      </w:r>
      <w:r w:rsidRPr="00DB33B8">
        <w:rPr>
          <w:b/>
        </w:rPr>
        <w:t xml:space="preserve">ô hình </w:t>
      </w:r>
      <w:r>
        <w:rPr>
          <w:b/>
        </w:rPr>
        <w:t>RBC</w:t>
      </w:r>
      <w:r w:rsidRPr="00DB33B8">
        <w:rPr>
          <w:b/>
        </w:rPr>
        <w:t xml:space="preserve"> cho thị trường bảo hiểm Việt Nam</w:t>
      </w:r>
    </w:p>
    <w:p w:rsidR="00526A6C" w:rsidRPr="00DB33B8" w:rsidRDefault="00526A6C" w:rsidP="00526A6C">
      <w:pPr>
        <w:spacing w:before="120" w:after="120"/>
        <w:ind w:firstLine="720"/>
        <w:jc w:val="both"/>
        <w:rPr>
          <w:b/>
          <w:i/>
        </w:rPr>
      </w:pPr>
      <w:r>
        <w:rPr>
          <w:b/>
          <w:i/>
        </w:rPr>
        <w:t>a) Về c</w:t>
      </w:r>
      <w:r w:rsidRPr="00DB33B8">
        <w:rPr>
          <w:b/>
          <w:i/>
        </w:rPr>
        <w:t>ông thức tính vốn trên cơ sở rủi ro</w:t>
      </w:r>
    </w:p>
    <w:p w:rsidR="00526A6C" w:rsidRPr="00AB5D09" w:rsidRDefault="00526A6C" w:rsidP="00526A6C">
      <w:pPr>
        <w:spacing w:before="120" w:after="120"/>
        <w:jc w:val="both"/>
      </w:pPr>
      <m:oMathPara>
        <m:oMath>
          <m:r>
            <w:rPr>
              <w:rFonts w:ascii="Cambria Math" w:hAnsi="Cambria Math"/>
            </w:rPr>
            <m:t>T</m:t>
          </m:r>
          <m:r>
            <m:t>ỷ</m:t>
          </m:r>
          <m:r>
            <w:rPr>
              <w:rFonts w:ascii="Cambria Math"/>
            </w:rPr>
            <m:t xml:space="preserve"> </m:t>
          </m:r>
          <m:r>
            <w:rPr>
              <w:rFonts w:ascii="Cambria Math" w:hAnsi="Cambria Math"/>
            </w:rPr>
            <m:t>l</m:t>
          </m:r>
          <m:r>
            <m:t>ệ</m:t>
          </m:r>
          <m:r>
            <w:rPr>
              <w:rFonts w:ascii="Cambria Math"/>
            </w:rPr>
            <m:t xml:space="preserve"> </m:t>
          </m:r>
          <m:r>
            <w:rPr>
              <w:rFonts w:ascii="Cambria Math" w:hAnsi="Cambria Math"/>
            </w:rPr>
            <m:t>RBC</m:t>
          </m:r>
          <m:r>
            <w:rPr>
              <w:rFonts w:ascii="Cambria Math"/>
            </w:rPr>
            <m:t xml:space="preserve"> </m:t>
          </m:r>
          <m:r>
            <m:rPr>
              <m:sty m:val="p"/>
            </m:rPr>
            <w:rPr>
              <w:rFonts w:ascii="Cambria Math"/>
            </w:rPr>
            <m:t>=</m:t>
          </m:r>
          <m:f>
            <m:fPr>
              <m:ctrlPr>
                <w:rPr>
                  <w:rFonts w:ascii="Cambria Math" w:hAnsi="Cambria Math"/>
                </w:rPr>
              </m:ctrlPr>
            </m:fPr>
            <m:num>
              <m:r>
                <w:rPr>
                  <w:rFonts w:ascii="Cambria Math" w:hAnsi="Cambria Math"/>
                </w:rPr>
                <m:t>V</m:t>
              </m:r>
              <m:r>
                <m:t>ố</m:t>
              </m:r>
              <m:r>
                <w:rPr>
                  <w:rFonts w:ascii="Cambria Math" w:hAnsi="Cambria Math"/>
                </w:rPr>
                <m:t>n</m:t>
              </m:r>
              <m:r>
                <w:rPr>
                  <w:rFonts w:ascii="Cambria Math"/>
                </w:rPr>
                <m:t xml:space="preserve"> </m:t>
              </m:r>
              <m:r>
                <w:rPr>
                  <w:rFonts w:ascii="Cambria Math" w:hAnsi="Cambria Math"/>
                </w:rPr>
                <m:t>t</m:t>
              </m:r>
              <m:r>
                <m:t>hự</m:t>
              </m:r>
              <m:r>
                <w:rPr>
                  <w:rFonts w:ascii="Cambria Math" w:hAnsi="Cambria Math"/>
                </w:rPr>
                <m:t>c</m:t>
              </m:r>
              <m:r>
                <w:rPr>
                  <w:rFonts w:ascii="Cambria Math"/>
                </w:rPr>
                <m:t xml:space="preserve"> </m:t>
              </m:r>
              <m:r>
                <w:rPr>
                  <w:rFonts w:ascii="Cambria Math" w:hAnsi="Cambria Math"/>
                </w:rPr>
                <m:t>c</m:t>
              </m:r>
              <m:r>
                <m:t>ó</m:t>
              </m:r>
            </m:num>
            <m:den>
              <m:r>
                <w:rPr>
                  <w:rFonts w:ascii="Cambria Math" w:hAnsi="Cambria Math"/>
                </w:rPr>
                <m:t>V</m:t>
              </m:r>
              <m:r>
                <m:t>ố</m:t>
              </m:r>
              <m:r>
                <w:rPr>
                  <w:rFonts w:ascii="Cambria Math" w:hAnsi="Cambria Math"/>
                </w:rPr>
                <m:t>n</m:t>
              </m:r>
              <m:r>
                <w:rPr>
                  <w:rFonts w:ascii="Cambria Math"/>
                </w:rPr>
                <m:t xml:space="preserve"> </m:t>
              </m:r>
              <m:r>
                <w:rPr>
                  <w:rFonts w:ascii="Cambria Math" w:hAnsi="Cambria Math"/>
                </w:rPr>
                <m:t>tr</m:t>
              </m:r>
              <m:r>
                <m:t>ê</m:t>
              </m:r>
              <m:r>
                <w:rPr>
                  <w:rFonts w:ascii="Cambria Math" w:hAnsi="Cambria Math"/>
                </w:rPr>
                <m:t>n</m:t>
              </m:r>
              <m:r>
                <w:rPr>
                  <w:rFonts w:ascii="Cambria Math"/>
                </w:rPr>
                <m:t xml:space="preserve"> </m:t>
              </m:r>
              <m:r>
                <w:rPr>
                  <w:rFonts w:ascii="Cambria Math" w:hAnsi="Cambria Math"/>
                </w:rPr>
                <m:t>c</m:t>
              </m:r>
              <m:r>
                <m:t>ơ</m:t>
              </m:r>
              <m:r>
                <w:rPr>
                  <w:rFonts w:ascii="Cambria Math"/>
                </w:rPr>
                <m:t xml:space="preserve"> </m:t>
              </m:r>
              <m:r>
                <w:rPr>
                  <w:rFonts w:ascii="Cambria Math" w:hAnsi="Cambria Math"/>
                </w:rPr>
                <m:t>s</m:t>
              </m:r>
              <m:r>
                <m:t>ở</m:t>
              </m:r>
              <m:r>
                <w:rPr>
                  <w:rFonts w:ascii="Cambria Math"/>
                </w:rPr>
                <m:t xml:space="preserve"> </m:t>
              </m:r>
              <m:r>
                <w:rPr>
                  <w:rFonts w:ascii="Cambria Math" w:hAnsi="Cambria Math"/>
                </w:rPr>
                <m:t>r</m:t>
              </m:r>
              <m:r>
                <m:t>ủ</m:t>
              </m:r>
              <m:r>
                <w:rPr>
                  <w:rFonts w:ascii="Cambria Math" w:hAnsi="Cambria Math"/>
                </w:rPr>
                <m:t>i</m:t>
              </m:r>
              <m:r>
                <w:rPr>
                  <w:rFonts w:ascii="Cambria Math"/>
                </w:rPr>
                <m:t xml:space="preserve"> </m:t>
              </m:r>
              <m:r>
                <w:rPr>
                  <w:rFonts w:ascii="Cambria Math" w:hAnsi="Cambria Math"/>
                </w:rPr>
                <m:t>ro</m:t>
              </m:r>
            </m:den>
          </m:f>
        </m:oMath>
      </m:oMathPara>
    </w:p>
    <w:p w:rsidR="00526A6C" w:rsidRDefault="00526A6C" w:rsidP="00526A6C">
      <w:pPr>
        <w:spacing w:before="120" w:after="120"/>
        <w:ind w:firstLine="720"/>
        <w:jc w:val="both"/>
      </w:pPr>
    </w:p>
    <w:p w:rsidR="00526A6C" w:rsidRDefault="00526A6C" w:rsidP="00526A6C">
      <w:pPr>
        <w:spacing w:before="120" w:after="120"/>
        <w:ind w:firstLine="720"/>
        <w:jc w:val="both"/>
      </w:pPr>
      <w:r w:rsidRPr="00F849D0">
        <w:t>Trong đó</w:t>
      </w:r>
      <w:r>
        <w:t>:</w:t>
      </w:r>
    </w:p>
    <w:p w:rsidR="00526A6C" w:rsidRDefault="00526A6C" w:rsidP="00526A6C">
      <w:pPr>
        <w:spacing w:before="120" w:after="120"/>
        <w:ind w:firstLine="720"/>
        <w:jc w:val="both"/>
      </w:pPr>
      <w:r>
        <w:t xml:space="preserve">- Tỷ lệ RBC: Tỷ lệ </w:t>
      </w:r>
      <w:proofErr w:type="gramStart"/>
      <w:r>
        <w:t>an</w:t>
      </w:r>
      <w:proofErr w:type="gramEnd"/>
      <w:r>
        <w:t xml:space="preserve"> toàn vốn của DNBH.</w:t>
      </w:r>
    </w:p>
    <w:p w:rsidR="00526A6C" w:rsidRPr="00DB1773" w:rsidRDefault="00526A6C" w:rsidP="00526A6C">
      <w:pPr>
        <w:spacing w:before="120" w:after="120"/>
        <w:ind w:firstLine="720"/>
        <w:jc w:val="both"/>
      </w:pPr>
      <w:r>
        <w:t>- Vốn thực có:</w:t>
      </w:r>
      <w:r w:rsidRPr="00922E7F">
        <w:t xml:space="preserve"> </w:t>
      </w:r>
      <w:r>
        <w:t>Đ</w:t>
      </w:r>
      <w:r w:rsidRPr="00922E7F">
        <w:t>ược</w:t>
      </w:r>
      <w:r>
        <w:t xml:space="preserve"> xác định tương tự như vốn xác định biên khả năng thanh toán </w:t>
      </w:r>
      <w:proofErr w:type="gramStart"/>
      <w:r>
        <w:t>theo</w:t>
      </w:r>
      <w:proofErr w:type="gramEnd"/>
      <w:r>
        <w:t xml:space="preserve"> quy định hiện hành</w:t>
      </w:r>
      <w:r w:rsidRPr="00922E7F">
        <w:t xml:space="preserve">. Do rủi ro của bất động sản đầu tư đã được tính vào vốn </w:t>
      </w:r>
      <w:r>
        <w:t xml:space="preserve">trên cơ sở </w:t>
      </w:r>
      <w:r w:rsidRPr="00922E7F">
        <w:t>rủi ro nên khoản mục này sẽ không được khấu trừ để tránh bị trùng lắp. Các khoản mục còn lại phải được trừ khỏi vốn chủ s</w:t>
      </w:r>
      <w:r>
        <w:t>ở hữu trên Bảng cân đối kế toán. Theo đó, vốn thực có được tính như sau:</w:t>
      </w:r>
    </w:p>
    <w:p w:rsidR="00526A6C" w:rsidRPr="00922E7F" w:rsidRDefault="00526A6C" w:rsidP="00526A6C">
      <w:pPr>
        <w:spacing w:before="360" w:after="360"/>
        <w:jc w:val="center"/>
        <w:rPr>
          <w:i/>
        </w:rPr>
      </w:pPr>
      <w:r w:rsidRPr="00922E7F">
        <w:rPr>
          <w:i/>
        </w:rPr>
        <w:t xml:space="preserve">Vốn </w:t>
      </w:r>
      <w:r>
        <w:rPr>
          <w:i/>
        </w:rPr>
        <w:t>thực có</w:t>
      </w:r>
      <w:r w:rsidRPr="00922E7F">
        <w:rPr>
          <w:i/>
        </w:rPr>
        <w:t xml:space="preserve"> = [E] – [3.b] – [3.c] – [3.d] – [4]</w:t>
      </w:r>
    </w:p>
    <w:tbl>
      <w:tblPr>
        <w:tblW w:w="9592" w:type="dxa"/>
        <w:tblInd w:w="-242" w:type="dxa"/>
        <w:tblCellMar>
          <w:left w:w="28" w:type="dxa"/>
          <w:right w:w="28" w:type="dxa"/>
        </w:tblCellMar>
        <w:tblLook w:val="04A0"/>
      </w:tblPr>
      <w:tblGrid>
        <w:gridCol w:w="5850"/>
        <w:gridCol w:w="1800"/>
        <w:gridCol w:w="1942"/>
      </w:tblGrid>
      <w:tr w:rsidR="00526A6C" w:rsidRPr="00922E7F" w:rsidTr="00526A6C">
        <w:trPr>
          <w:trHeight w:val="588"/>
        </w:trPr>
        <w:tc>
          <w:tcPr>
            <w:tcW w:w="58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A6C" w:rsidRPr="00B030A1" w:rsidRDefault="00526A6C" w:rsidP="00526A6C">
            <w:pPr>
              <w:spacing w:before="120" w:after="120"/>
              <w:jc w:val="center"/>
              <w:rPr>
                <w:sz w:val="24"/>
                <w:szCs w:val="24"/>
              </w:rPr>
            </w:pPr>
            <w:r w:rsidRPr="00B030A1">
              <w:rPr>
                <w:sz w:val="24"/>
                <w:szCs w:val="24"/>
              </w:rPr>
              <w:t>Khoản mục</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rsidR="00526A6C" w:rsidRPr="00B030A1" w:rsidRDefault="00526A6C" w:rsidP="00526A6C">
            <w:pPr>
              <w:spacing w:before="120" w:after="120"/>
              <w:jc w:val="center"/>
              <w:rPr>
                <w:sz w:val="24"/>
                <w:szCs w:val="24"/>
              </w:rPr>
            </w:pPr>
            <w:r>
              <w:rPr>
                <w:sz w:val="24"/>
                <w:szCs w:val="24"/>
              </w:rPr>
              <w:t>Giá trị</w:t>
            </w:r>
            <w:r w:rsidRPr="00B030A1">
              <w:rPr>
                <w:sz w:val="24"/>
                <w:szCs w:val="24"/>
              </w:rPr>
              <w:t xml:space="preserve"> hạch toán</w:t>
            </w:r>
          </w:p>
        </w:tc>
        <w:tc>
          <w:tcPr>
            <w:tcW w:w="1942" w:type="dxa"/>
            <w:tcBorders>
              <w:top w:val="single" w:sz="8" w:space="0" w:color="auto"/>
              <w:left w:val="nil"/>
              <w:bottom w:val="single" w:sz="8" w:space="0" w:color="auto"/>
              <w:right w:val="single" w:sz="8" w:space="0" w:color="auto"/>
            </w:tcBorders>
            <w:shd w:val="clear" w:color="auto" w:fill="auto"/>
            <w:vAlign w:val="center"/>
            <w:hideMark/>
          </w:tcPr>
          <w:p w:rsidR="00526A6C" w:rsidRPr="00B030A1" w:rsidRDefault="00526A6C" w:rsidP="00526A6C">
            <w:pPr>
              <w:spacing w:before="120" w:after="120"/>
              <w:jc w:val="center"/>
              <w:rPr>
                <w:sz w:val="24"/>
                <w:szCs w:val="24"/>
              </w:rPr>
            </w:pPr>
            <w:r w:rsidRPr="00B030A1">
              <w:rPr>
                <w:sz w:val="24"/>
                <w:szCs w:val="24"/>
              </w:rPr>
              <w:t>Loại trừ biên khả năng thanh toán</w:t>
            </w:r>
          </w:p>
        </w:tc>
      </w:tr>
      <w:tr w:rsidR="00526A6C" w:rsidRPr="00922E7F" w:rsidTr="00526A6C">
        <w:trPr>
          <w:trHeight w:val="300"/>
        </w:trPr>
        <w:tc>
          <w:tcPr>
            <w:tcW w:w="5850" w:type="dxa"/>
            <w:tcBorders>
              <w:top w:val="nil"/>
              <w:left w:val="single" w:sz="8" w:space="0" w:color="auto"/>
              <w:bottom w:val="single" w:sz="8" w:space="0" w:color="auto"/>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1. Chênh lệch giữa giá trị tài sản có và tài sản nợ</w:t>
            </w:r>
          </w:p>
        </w:tc>
        <w:tc>
          <w:tcPr>
            <w:tcW w:w="1800" w:type="dxa"/>
            <w:tcBorders>
              <w:top w:val="nil"/>
              <w:left w:val="nil"/>
              <w:bottom w:val="single" w:sz="8" w:space="0" w:color="auto"/>
              <w:right w:val="single" w:sz="8" w:space="0" w:color="auto"/>
            </w:tcBorders>
            <w:shd w:val="clear" w:color="auto" w:fill="auto"/>
            <w:vAlign w:val="center"/>
            <w:hideMark/>
          </w:tcPr>
          <w:p w:rsidR="00526A6C" w:rsidRPr="00B030A1" w:rsidRDefault="00526A6C" w:rsidP="00526A6C">
            <w:pPr>
              <w:spacing w:before="60" w:after="60"/>
              <w:jc w:val="center"/>
              <w:rPr>
                <w:b/>
                <w:bCs/>
                <w:sz w:val="24"/>
                <w:szCs w:val="24"/>
              </w:rPr>
            </w:pPr>
            <w:r w:rsidRPr="00B030A1">
              <w:rPr>
                <w:b/>
                <w:bCs/>
                <w:sz w:val="24"/>
                <w:szCs w:val="24"/>
              </w:rPr>
              <w:t>[E]</w:t>
            </w:r>
          </w:p>
        </w:tc>
        <w:tc>
          <w:tcPr>
            <w:tcW w:w="1942" w:type="dxa"/>
            <w:tcBorders>
              <w:top w:val="nil"/>
              <w:left w:val="nil"/>
              <w:bottom w:val="single" w:sz="8" w:space="0" w:color="auto"/>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 xml:space="preserve">　</w:t>
            </w:r>
          </w:p>
        </w:tc>
      </w:tr>
      <w:tr w:rsidR="00526A6C" w:rsidRPr="00922E7F" w:rsidTr="00526A6C">
        <w:trPr>
          <w:trHeight w:val="288"/>
        </w:trPr>
        <w:tc>
          <w:tcPr>
            <w:tcW w:w="5850" w:type="dxa"/>
            <w:tcBorders>
              <w:top w:val="nil"/>
              <w:left w:val="single" w:sz="8" w:space="0" w:color="auto"/>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2. Toàn bộ giá trị hạch toán được chấp nhận</w:t>
            </w:r>
          </w:p>
        </w:tc>
        <w:tc>
          <w:tcPr>
            <w:tcW w:w="1800" w:type="dxa"/>
            <w:tcBorders>
              <w:top w:val="nil"/>
              <w:left w:val="nil"/>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 xml:space="preserve">　</w:t>
            </w:r>
          </w:p>
        </w:tc>
        <w:tc>
          <w:tcPr>
            <w:tcW w:w="1942" w:type="dxa"/>
            <w:tcBorders>
              <w:top w:val="nil"/>
              <w:left w:val="nil"/>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 xml:space="preserve">　</w:t>
            </w:r>
          </w:p>
        </w:tc>
      </w:tr>
      <w:tr w:rsidR="00526A6C" w:rsidRPr="00922E7F" w:rsidTr="00526A6C">
        <w:trPr>
          <w:trHeight w:val="288"/>
        </w:trPr>
        <w:tc>
          <w:tcPr>
            <w:tcW w:w="5850" w:type="dxa"/>
            <w:tcBorders>
              <w:top w:val="nil"/>
              <w:left w:val="single" w:sz="8" w:space="0" w:color="auto"/>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3. Những tài sản bị loại trừ một phần giá trị hạch toán</w:t>
            </w:r>
          </w:p>
        </w:tc>
        <w:tc>
          <w:tcPr>
            <w:tcW w:w="1800" w:type="dxa"/>
            <w:tcBorders>
              <w:top w:val="nil"/>
              <w:left w:val="nil"/>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 xml:space="preserve">　</w:t>
            </w:r>
          </w:p>
        </w:tc>
        <w:tc>
          <w:tcPr>
            <w:tcW w:w="1942" w:type="dxa"/>
            <w:tcBorders>
              <w:top w:val="nil"/>
              <w:left w:val="nil"/>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 xml:space="preserve">　</w:t>
            </w:r>
          </w:p>
        </w:tc>
      </w:tr>
      <w:tr w:rsidR="00526A6C" w:rsidRPr="00922E7F" w:rsidTr="00526A6C">
        <w:trPr>
          <w:trHeight w:val="288"/>
        </w:trPr>
        <w:tc>
          <w:tcPr>
            <w:tcW w:w="5850" w:type="dxa"/>
            <w:tcBorders>
              <w:top w:val="nil"/>
              <w:left w:val="single" w:sz="8" w:space="0" w:color="auto"/>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a) Tài sản đầu tư</w:t>
            </w:r>
          </w:p>
        </w:tc>
        <w:tc>
          <w:tcPr>
            <w:tcW w:w="1800" w:type="dxa"/>
            <w:tcBorders>
              <w:top w:val="nil"/>
              <w:left w:val="nil"/>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 xml:space="preserve">　</w:t>
            </w:r>
          </w:p>
        </w:tc>
        <w:tc>
          <w:tcPr>
            <w:tcW w:w="1942" w:type="dxa"/>
            <w:tcBorders>
              <w:top w:val="nil"/>
              <w:left w:val="nil"/>
              <w:bottom w:val="nil"/>
              <w:right w:val="single" w:sz="8" w:space="0" w:color="auto"/>
            </w:tcBorders>
            <w:shd w:val="clear" w:color="auto" w:fill="auto"/>
            <w:vAlign w:val="center"/>
            <w:hideMark/>
          </w:tcPr>
          <w:p w:rsidR="00526A6C" w:rsidRPr="00B030A1" w:rsidRDefault="00526A6C" w:rsidP="00526A6C">
            <w:pPr>
              <w:spacing w:before="60" w:after="60"/>
              <w:jc w:val="center"/>
              <w:rPr>
                <w:b/>
                <w:bCs/>
                <w:sz w:val="24"/>
                <w:szCs w:val="24"/>
              </w:rPr>
            </w:pPr>
            <w:r w:rsidRPr="00B030A1">
              <w:rPr>
                <w:b/>
                <w:bCs/>
                <w:sz w:val="24"/>
                <w:szCs w:val="24"/>
              </w:rPr>
              <w:t>[3.a]</w:t>
            </w:r>
          </w:p>
        </w:tc>
      </w:tr>
      <w:tr w:rsidR="00526A6C" w:rsidRPr="00922E7F" w:rsidTr="00526A6C">
        <w:trPr>
          <w:trHeight w:val="288"/>
        </w:trPr>
        <w:tc>
          <w:tcPr>
            <w:tcW w:w="5850" w:type="dxa"/>
            <w:tcBorders>
              <w:top w:val="nil"/>
              <w:left w:val="single" w:sz="8" w:space="0" w:color="auto"/>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b) Các khoản phải thu</w:t>
            </w:r>
          </w:p>
        </w:tc>
        <w:tc>
          <w:tcPr>
            <w:tcW w:w="1800" w:type="dxa"/>
            <w:tcBorders>
              <w:top w:val="nil"/>
              <w:left w:val="nil"/>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 xml:space="preserve">　</w:t>
            </w:r>
          </w:p>
        </w:tc>
        <w:tc>
          <w:tcPr>
            <w:tcW w:w="1942" w:type="dxa"/>
            <w:tcBorders>
              <w:top w:val="nil"/>
              <w:left w:val="nil"/>
              <w:bottom w:val="nil"/>
              <w:right w:val="single" w:sz="8" w:space="0" w:color="auto"/>
            </w:tcBorders>
            <w:shd w:val="clear" w:color="auto" w:fill="auto"/>
            <w:vAlign w:val="center"/>
            <w:hideMark/>
          </w:tcPr>
          <w:p w:rsidR="00526A6C" w:rsidRPr="00B030A1" w:rsidRDefault="00526A6C" w:rsidP="00526A6C">
            <w:pPr>
              <w:spacing w:before="60" w:after="60"/>
              <w:jc w:val="center"/>
              <w:rPr>
                <w:b/>
                <w:bCs/>
                <w:sz w:val="24"/>
                <w:szCs w:val="24"/>
              </w:rPr>
            </w:pPr>
            <w:r w:rsidRPr="00B030A1">
              <w:rPr>
                <w:b/>
                <w:bCs/>
                <w:sz w:val="24"/>
                <w:szCs w:val="24"/>
              </w:rPr>
              <w:t>[3.b]</w:t>
            </w:r>
          </w:p>
        </w:tc>
      </w:tr>
      <w:tr w:rsidR="00526A6C" w:rsidRPr="00922E7F" w:rsidTr="00526A6C">
        <w:trPr>
          <w:trHeight w:val="576"/>
        </w:trPr>
        <w:tc>
          <w:tcPr>
            <w:tcW w:w="5850" w:type="dxa"/>
            <w:tcBorders>
              <w:top w:val="nil"/>
              <w:left w:val="single" w:sz="8" w:space="0" w:color="auto"/>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c) Tài sản cố định hữu hình, tài sản cố định vô hình là phần mềm máy tính, quyền sử dụng đất và hàng tồn kho</w:t>
            </w:r>
          </w:p>
        </w:tc>
        <w:tc>
          <w:tcPr>
            <w:tcW w:w="1800" w:type="dxa"/>
            <w:tcBorders>
              <w:top w:val="nil"/>
              <w:left w:val="nil"/>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 xml:space="preserve">　</w:t>
            </w:r>
          </w:p>
        </w:tc>
        <w:tc>
          <w:tcPr>
            <w:tcW w:w="1942" w:type="dxa"/>
            <w:tcBorders>
              <w:top w:val="nil"/>
              <w:left w:val="nil"/>
              <w:bottom w:val="nil"/>
              <w:right w:val="single" w:sz="8" w:space="0" w:color="auto"/>
            </w:tcBorders>
            <w:shd w:val="clear" w:color="auto" w:fill="auto"/>
            <w:vAlign w:val="center"/>
            <w:hideMark/>
          </w:tcPr>
          <w:p w:rsidR="00526A6C" w:rsidRPr="00B030A1" w:rsidRDefault="00526A6C" w:rsidP="00526A6C">
            <w:pPr>
              <w:spacing w:before="60" w:after="60"/>
              <w:jc w:val="center"/>
              <w:rPr>
                <w:b/>
                <w:bCs/>
                <w:sz w:val="24"/>
                <w:szCs w:val="24"/>
              </w:rPr>
            </w:pPr>
            <w:r w:rsidRPr="00B030A1">
              <w:rPr>
                <w:b/>
                <w:bCs/>
                <w:sz w:val="24"/>
                <w:szCs w:val="24"/>
              </w:rPr>
              <w:t>[3.c]</w:t>
            </w:r>
          </w:p>
        </w:tc>
      </w:tr>
      <w:tr w:rsidR="00526A6C" w:rsidRPr="00922E7F" w:rsidTr="00526A6C">
        <w:trPr>
          <w:trHeight w:val="300"/>
        </w:trPr>
        <w:tc>
          <w:tcPr>
            <w:tcW w:w="5850" w:type="dxa"/>
            <w:tcBorders>
              <w:top w:val="nil"/>
              <w:left w:val="single" w:sz="8" w:space="0" w:color="auto"/>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d) Tài sản khác</w:t>
            </w:r>
          </w:p>
        </w:tc>
        <w:tc>
          <w:tcPr>
            <w:tcW w:w="1800" w:type="dxa"/>
            <w:tcBorders>
              <w:top w:val="nil"/>
              <w:left w:val="nil"/>
              <w:bottom w:val="nil"/>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 xml:space="preserve">　</w:t>
            </w:r>
          </w:p>
        </w:tc>
        <w:tc>
          <w:tcPr>
            <w:tcW w:w="1942" w:type="dxa"/>
            <w:tcBorders>
              <w:top w:val="nil"/>
              <w:left w:val="nil"/>
              <w:bottom w:val="nil"/>
              <w:right w:val="single" w:sz="8" w:space="0" w:color="auto"/>
            </w:tcBorders>
            <w:shd w:val="clear" w:color="auto" w:fill="auto"/>
            <w:vAlign w:val="center"/>
            <w:hideMark/>
          </w:tcPr>
          <w:p w:rsidR="00526A6C" w:rsidRPr="00B030A1" w:rsidRDefault="00526A6C" w:rsidP="00526A6C">
            <w:pPr>
              <w:spacing w:before="60" w:after="60"/>
              <w:jc w:val="center"/>
              <w:rPr>
                <w:b/>
                <w:bCs/>
                <w:sz w:val="24"/>
                <w:szCs w:val="24"/>
              </w:rPr>
            </w:pPr>
            <w:r w:rsidRPr="00B030A1">
              <w:rPr>
                <w:b/>
                <w:bCs/>
                <w:sz w:val="24"/>
                <w:szCs w:val="24"/>
              </w:rPr>
              <w:t>[3.d]</w:t>
            </w:r>
          </w:p>
        </w:tc>
      </w:tr>
      <w:tr w:rsidR="00526A6C" w:rsidRPr="00922E7F" w:rsidTr="00526A6C">
        <w:trPr>
          <w:trHeight w:val="300"/>
        </w:trPr>
        <w:tc>
          <w:tcPr>
            <w:tcW w:w="5850" w:type="dxa"/>
            <w:tcBorders>
              <w:top w:val="single" w:sz="8" w:space="0" w:color="auto"/>
              <w:left w:val="single" w:sz="8" w:space="0" w:color="auto"/>
              <w:bottom w:val="single" w:sz="8" w:space="0" w:color="auto"/>
              <w:right w:val="nil"/>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4. Tài sản loại trừ toàn bộ giá trị hạch toán</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A6C" w:rsidRPr="00B030A1" w:rsidRDefault="00526A6C" w:rsidP="00526A6C">
            <w:pPr>
              <w:spacing w:before="60" w:after="60"/>
              <w:jc w:val="both"/>
              <w:rPr>
                <w:sz w:val="24"/>
                <w:szCs w:val="24"/>
              </w:rPr>
            </w:pPr>
            <w:r w:rsidRPr="00B030A1">
              <w:rPr>
                <w:sz w:val="24"/>
                <w:szCs w:val="24"/>
              </w:rPr>
              <w:t xml:space="preserve">　</w:t>
            </w:r>
          </w:p>
        </w:tc>
        <w:tc>
          <w:tcPr>
            <w:tcW w:w="1942" w:type="dxa"/>
            <w:tcBorders>
              <w:top w:val="single" w:sz="8" w:space="0" w:color="auto"/>
              <w:left w:val="nil"/>
              <w:bottom w:val="single" w:sz="8" w:space="0" w:color="auto"/>
              <w:right w:val="single" w:sz="8" w:space="0" w:color="auto"/>
            </w:tcBorders>
            <w:shd w:val="clear" w:color="auto" w:fill="auto"/>
            <w:vAlign w:val="center"/>
            <w:hideMark/>
          </w:tcPr>
          <w:p w:rsidR="00526A6C" w:rsidRPr="00B030A1" w:rsidRDefault="00526A6C" w:rsidP="00526A6C">
            <w:pPr>
              <w:spacing w:before="60" w:after="60"/>
              <w:jc w:val="center"/>
              <w:rPr>
                <w:b/>
                <w:bCs/>
                <w:sz w:val="24"/>
                <w:szCs w:val="24"/>
              </w:rPr>
            </w:pPr>
            <w:r w:rsidRPr="00B030A1">
              <w:rPr>
                <w:b/>
                <w:bCs/>
                <w:sz w:val="24"/>
                <w:szCs w:val="24"/>
              </w:rPr>
              <w:t>[4]</w:t>
            </w:r>
          </w:p>
        </w:tc>
      </w:tr>
    </w:tbl>
    <w:p w:rsidR="00526A6C" w:rsidRPr="00DB33B8" w:rsidRDefault="00526A6C" w:rsidP="00526A6C">
      <w:pPr>
        <w:spacing w:before="120" w:after="120"/>
        <w:ind w:firstLine="720"/>
        <w:jc w:val="both"/>
        <w:rPr>
          <w:b/>
          <w:i/>
        </w:rPr>
      </w:pPr>
      <w:r>
        <w:rPr>
          <w:b/>
          <w:i/>
        </w:rPr>
        <w:t>b)</w:t>
      </w:r>
      <w:r w:rsidRPr="00DB33B8">
        <w:rPr>
          <w:b/>
          <w:i/>
        </w:rPr>
        <w:t xml:space="preserve"> Khung vốn trên cơ sở rủi ro</w:t>
      </w:r>
    </w:p>
    <w:p w:rsidR="00526A6C" w:rsidRPr="00922E7F" w:rsidRDefault="00526A6C" w:rsidP="00526A6C">
      <w:pPr>
        <w:spacing w:before="120" w:after="120"/>
        <w:ind w:firstLine="720"/>
        <w:jc w:val="both"/>
      </w:pPr>
      <w:r>
        <w:t xml:space="preserve">Trên cơ sở tham chiếu </w:t>
      </w:r>
      <w:r w:rsidRPr="00922E7F">
        <w:t>khung rủi ro của ICS</w:t>
      </w:r>
      <w:r>
        <w:t>, khung vốn trên cơ sở rủi ro sẽ</w:t>
      </w:r>
      <w:r w:rsidRPr="00922E7F">
        <w:t xml:space="preserve"> bao gồm các loại rủi ro chính như rủi ro thị trường,</w:t>
      </w:r>
      <w:r>
        <w:t xml:space="preserve"> rủi ro</w:t>
      </w:r>
      <w:r w:rsidRPr="00922E7F">
        <w:t xml:space="preserve"> tín dụng,</w:t>
      </w:r>
      <w:r>
        <w:t xml:space="preserve"> rủi ro</w:t>
      </w:r>
      <w:r w:rsidRPr="00922E7F">
        <w:t xml:space="preserve"> bảo hiểm nhân thọ,</w:t>
      </w:r>
      <w:r>
        <w:t xml:space="preserve"> rủi ro</w:t>
      </w:r>
      <w:r w:rsidRPr="00922E7F">
        <w:t xml:space="preserve"> bảo hiểm phi nhân thọ</w:t>
      </w:r>
      <w:r>
        <w:t xml:space="preserve">, rủi ro </w:t>
      </w:r>
      <w:r w:rsidRPr="00922E7F">
        <w:t>thảm họa và rủi ro hoạt động.</w:t>
      </w:r>
      <w:r>
        <w:t xml:space="preserve"> Trong đó:</w:t>
      </w:r>
    </w:p>
    <w:p w:rsidR="00526A6C" w:rsidRDefault="00526A6C" w:rsidP="00526A6C">
      <w:pPr>
        <w:spacing w:before="120" w:after="120"/>
        <w:ind w:firstLine="720"/>
        <w:jc w:val="both"/>
      </w:pPr>
      <w:r>
        <w:t>- Rủi ro thị trường bao gồm các rủi ro lãi suất, vốn cổ phần, bất động sản, tiền tệ và</w:t>
      </w:r>
      <w:r w:rsidRPr="00922E7F">
        <w:t xml:space="preserve"> tập trung tài sản. </w:t>
      </w:r>
    </w:p>
    <w:p w:rsidR="00526A6C" w:rsidRDefault="00526A6C" w:rsidP="00526A6C">
      <w:pPr>
        <w:spacing w:before="120" w:after="120"/>
        <w:ind w:firstLine="720"/>
        <w:jc w:val="both"/>
      </w:pPr>
      <w:r>
        <w:t xml:space="preserve">- </w:t>
      </w:r>
      <w:r w:rsidRPr="00922E7F">
        <w:t>Rủi ro bảo hiểm được chia thành rủi ro</w:t>
      </w:r>
      <w:r>
        <w:t xml:space="preserve"> bảo hiểm</w:t>
      </w:r>
      <w:r w:rsidRPr="00922E7F">
        <w:t xml:space="preserve"> nhân thọ,</w:t>
      </w:r>
      <w:r>
        <w:t xml:space="preserve"> rủi ro bảo hiểm</w:t>
      </w:r>
      <w:r w:rsidRPr="00922E7F">
        <w:t xml:space="preserve"> phi nhân thọ và rủi ro thảm họa. </w:t>
      </w:r>
      <w:proofErr w:type="gramStart"/>
      <w:r w:rsidRPr="00922E7F">
        <w:t>Rủi ro</w:t>
      </w:r>
      <w:r>
        <w:t xml:space="preserve"> bảo hiểm</w:t>
      </w:r>
      <w:r w:rsidRPr="00922E7F">
        <w:t xml:space="preserve"> nhân thọ bao gồm</w:t>
      </w:r>
      <w:r>
        <w:t xml:space="preserve"> các rủi ro</w:t>
      </w:r>
      <w:r w:rsidRPr="00922E7F">
        <w:t xml:space="preserve"> tử vong, tuổi thọ, bệnh tật,</w:t>
      </w:r>
      <w:r>
        <w:t xml:space="preserve"> hợp đồng</w:t>
      </w:r>
      <w:r w:rsidRPr="00922E7F">
        <w:t xml:space="preserve"> mất hiệu lực, chi phí và các rủi ro phụ khác.</w:t>
      </w:r>
      <w:proofErr w:type="gramEnd"/>
      <w:r w:rsidRPr="00922E7F">
        <w:t xml:space="preserve"> </w:t>
      </w:r>
      <w:proofErr w:type="gramStart"/>
      <w:r w:rsidRPr="00922E7F">
        <w:t>Rủi ro</w:t>
      </w:r>
      <w:r>
        <w:t xml:space="preserve"> bảo hiểm</w:t>
      </w:r>
      <w:r w:rsidRPr="00922E7F">
        <w:t xml:space="preserve"> phi nhân thọ </w:t>
      </w:r>
      <w:r>
        <w:t>gồm rủi ro</w:t>
      </w:r>
      <w:r w:rsidRPr="00922E7F">
        <w:t xml:space="preserve"> phí bảo hiểm và dự phòng bồi thường.</w:t>
      </w:r>
      <w:proofErr w:type="gramEnd"/>
      <w:r w:rsidRPr="00922E7F">
        <w:t xml:space="preserve"> Rủi ro thảm họa hiện chỉ xem xét các rủi ro do bão, </w:t>
      </w:r>
      <w:proofErr w:type="gramStart"/>
      <w:r w:rsidRPr="00922E7F">
        <w:t>lũ</w:t>
      </w:r>
      <w:proofErr w:type="gramEnd"/>
      <w:r w:rsidRPr="00922E7F">
        <w:t xml:space="preserve"> lụt gây ra đối với các công ty bảo hiểm phi nhân thọ. </w:t>
      </w:r>
    </w:p>
    <w:p w:rsidR="00526A6C" w:rsidRDefault="00526A6C" w:rsidP="00526A6C">
      <w:pPr>
        <w:spacing w:before="120" w:after="120"/>
        <w:ind w:firstLine="720"/>
        <w:jc w:val="both"/>
      </w:pPr>
      <w:r>
        <w:t xml:space="preserve">- </w:t>
      </w:r>
      <w:r w:rsidRPr="00922E7F">
        <w:t>Rủi ro hoạt động bao gồm các rủi ro không th</w:t>
      </w:r>
      <w:r>
        <w:t xml:space="preserve">uộc phạm </w:t>
      </w:r>
      <w:proofErr w:type="gramStart"/>
      <w:r>
        <w:t>vi</w:t>
      </w:r>
      <w:proofErr w:type="gramEnd"/>
      <w:r>
        <w:t xml:space="preserve"> rủi ro riêng lẻ </w:t>
      </w:r>
      <w:r w:rsidRPr="00922E7F">
        <w:t>trên.</w:t>
      </w:r>
      <w:r>
        <w:t xml:space="preserve"> </w:t>
      </w:r>
      <w:r w:rsidRPr="00922E7F">
        <w:t>Việc đo lường rủi ro hoạt động cũng có thể bao gồm các chỉ số khách quan và có thể áp dụng cho toàn ngành, chẳng hạn như các trường hợp khiếu nại của khách hàng, số lần công ty bị phạt, v.v., để phân biệt sự khác biệt trong hoạt động rủi ro giữa các công ty.Tỷ lệ an toàn vốn của công ty bảo hiểm được xác định theo công thức sau.</w:t>
      </w:r>
    </w:p>
    <w:p w:rsidR="007F0CF5" w:rsidRPr="00922E7F" w:rsidRDefault="007F0CF5" w:rsidP="00526A6C">
      <w:pPr>
        <w:spacing w:before="120" w:after="120"/>
        <w:ind w:firstLine="720"/>
        <w:jc w:val="both"/>
        <w:rPr>
          <w:b/>
        </w:rPr>
      </w:pPr>
      <w:r>
        <w:t>- R</w:t>
      </w:r>
      <w:r w:rsidRPr="00922E7F">
        <w:t xml:space="preserve">ủi ro </w:t>
      </w:r>
      <w:r>
        <w:t xml:space="preserve">khác bao gồm rủi ro tín dụng và rủi ro </w:t>
      </w:r>
      <w:r w:rsidR="00927BB5">
        <w:t>thảm họa</w:t>
      </w:r>
      <w:r>
        <w:t xml:space="preserve">. </w:t>
      </w:r>
      <w:proofErr w:type="gramStart"/>
      <w:r>
        <w:t xml:space="preserve">Trong đó, rủi ro </w:t>
      </w:r>
      <w:r w:rsidRPr="00922E7F">
        <w:t>tín dụng gồm</w:t>
      </w:r>
      <w:r>
        <w:t xml:space="preserve"> rủi ro</w:t>
      </w:r>
      <w:r w:rsidRPr="00922E7F">
        <w:t xml:space="preserve"> trái phiếu, tái bảo hiểm và bảo hiểm tín dụng trong bảo hiểm phi nhân thọ.</w:t>
      </w:r>
      <w:proofErr w:type="gramEnd"/>
      <w:r w:rsidR="00927BB5">
        <w:t xml:space="preserve"> </w:t>
      </w:r>
      <w:r>
        <w:t xml:space="preserve">Rủi ro </w:t>
      </w:r>
      <w:r w:rsidR="00927BB5" w:rsidRPr="00927BB5">
        <w:t xml:space="preserve">thảm họa </w:t>
      </w:r>
      <w:r w:rsidR="00927BB5">
        <w:t>sẽ</w:t>
      </w:r>
      <w:r w:rsidR="00927BB5" w:rsidRPr="00927BB5">
        <w:t xml:space="preserve"> đo lường rủi ro mức độ nghiêm trọng của các sự kiện thảm họa có thể dẫn đến tổn thất bảo hiểm đáng kể</w:t>
      </w:r>
      <w:r w:rsidR="00927BB5">
        <w:t>.</w:t>
      </w:r>
    </w:p>
    <w:p w:rsidR="00526A6C" w:rsidRDefault="00526A6C" w:rsidP="00526A6C">
      <w:pPr>
        <w:spacing w:before="120" w:after="120"/>
        <w:ind w:firstLine="720"/>
        <w:jc w:val="both"/>
      </w:pPr>
      <w:proofErr w:type="gramStart"/>
      <w:r w:rsidRPr="00922E7F">
        <w:t>Ma trận tương quan được sử dụng để tổng hợp</w:t>
      </w:r>
      <w:r>
        <w:t xml:space="preserve"> tác động qua lại giữa các loại rủi ro</w:t>
      </w:r>
      <w:r w:rsidRPr="00922E7F">
        <w:t xml:space="preserve"> được tham chiếu từ ICS.</w:t>
      </w:r>
      <w:proofErr w:type="gramEnd"/>
      <w:r>
        <w:t xml:space="preserve"> </w:t>
      </w:r>
      <w:proofErr w:type="gramStart"/>
      <w:r>
        <w:t>Việc tính toán hệ số rủi ro có tính đến tương quan giữa các rủi ro.</w:t>
      </w:r>
      <w:proofErr w:type="gramEnd"/>
      <w:r>
        <w:t xml:space="preserve"> </w:t>
      </w:r>
    </w:p>
    <w:p w:rsidR="007E3F9B" w:rsidRPr="009D0CD4" w:rsidRDefault="009D0CD4" w:rsidP="003931C4">
      <w:pPr>
        <w:shd w:val="clear" w:color="auto" w:fill="FFFFFF"/>
        <w:spacing w:before="120" w:after="120" w:line="240" w:lineRule="auto"/>
        <w:ind w:firstLine="720"/>
        <w:jc w:val="both"/>
        <w:rPr>
          <w:b/>
        </w:rPr>
      </w:pPr>
      <w:r>
        <w:rPr>
          <w:b/>
        </w:rPr>
        <w:t>II</w:t>
      </w:r>
      <w:r w:rsidR="007E3F9B" w:rsidRPr="009D0CD4">
        <w:rPr>
          <w:b/>
        </w:rPr>
        <w:t>.</w:t>
      </w:r>
      <w:r w:rsidRPr="009D0CD4">
        <w:rPr>
          <w:b/>
        </w:rPr>
        <w:t xml:space="preserve"> CÁC YẾU TỐ CHUNG CẦN XEM XÉT TRƯỚC KHI BẮT ĐẦU QUÁ TRÌNH CHUYỂN ĐỔI SANG VỐN TRÊN CƠ SỞ RỦI RO</w:t>
      </w:r>
    </w:p>
    <w:p w:rsidR="009D0CD4" w:rsidRPr="009D0CD4" w:rsidRDefault="009D0CD4" w:rsidP="003931C4">
      <w:pPr>
        <w:shd w:val="clear" w:color="auto" w:fill="FFFFFF"/>
        <w:spacing w:before="120" w:after="120" w:line="240" w:lineRule="auto"/>
        <w:ind w:firstLine="720"/>
        <w:jc w:val="both"/>
        <w:rPr>
          <w:b/>
        </w:rPr>
      </w:pPr>
      <w:r w:rsidRPr="009D0CD4">
        <w:rPr>
          <w:b/>
        </w:rPr>
        <w:t>1. Về mục tiêu và chi phí, cơ hội của việc chuyển đổi sang mô hình RBC</w:t>
      </w:r>
    </w:p>
    <w:p w:rsidR="009E4FC1" w:rsidRPr="009E4FC1" w:rsidRDefault="009E4FC1" w:rsidP="003931C4">
      <w:pPr>
        <w:shd w:val="clear" w:color="auto" w:fill="FFFFFF"/>
        <w:spacing w:before="120" w:after="120" w:line="240" w:lineRule="auto"/>
        <w:ind w:firstLine="720"/>
        <w:jc w:val="both"/>
        <w:rPr>
          <w:b/>
          <w:i/>
        </w:rPr>
      </w:pPr>
      <w:r w:rsidRPr="009E4FC1">
        <w:rPr>
          <w:b/>
          <w:i/>
        </w:rPr>
        <w:t xml:space="preserve">a) Mục tiêu </w:t>
      </w:r>
    </w:p>
    <w:p w:rsidR="009E4FC1" w:rsidRDefault="009D0CD4" w:rsidP="003931C4">
      <w:pPr>
        <w:shd w:val="clear" w:color="auto" w:fill="FFFFFF"/>
        <w:spacing w:before="120" w:after="120" w:line="240" w:lineRule="auto"/>
        <w:ind w:firstLine="720"/>
        <w:jc w:val="both"/>
      </w:pPr>
      <w:r>
        <w:t xml:space="preserve">Mục tiêu cho việc chuyển đổi từ chế độ Khả năng thanh toán I đơn giản sang khuôn khổ vốn trên cơ sở rủi ro chủ yếu là để bảo vệ người </w:t>
      </w:r>
      <w:r w:rsidR="009E4FC1">
        <w:t>tham gia</w:t>
      </w:r>
      <w:r>
        <w:t xml:space="preserve"> bảo hiểm, hỗ trợ </w:t>
      </w:r>
      <w:r w:rsidR="009E4FC1">
        <w:t xml:space="preserve">doanh nghiệp </w:t>
      </w:r>
      <w:r>
        <w:t xml:space="preserve">phát triển và nâng cao năng lực thị trường bảo hiểm, đảm bảo sự ổn định tài chính </w:t>
      </w:r>
      <w:r w:rsidR="009E4FC1">
        <w:t>và</w:t>
      </w:r>
      <w:r>
        <w:t xml:space="preserve"> thực thi nhất quán các chuẩn mực quốc tế. </w:t>
      </w:r>
    </w:p>
    <w:p w:rsidR="009D0CD4" w:rsidRDefault="009E4FC1" w:rsidP="003931C4">
      <w:pPr>
        <w:shd w:val="clear" w:color="auto" w:fill="FFFFFF"/>
        <w:spacing w:before="120" w:after="120" w:line="240" w:lineRule="auto"/>
        <w:ind w:firstLine="720"/>
        <w:jc w:val="both"/>
      </w:pPr>
      <w:r>
        <w:t>Quy định của Khả năng thanh toán I b</w:t>
      </w:r>
      <w:r w:rsidR="009D0CD4">
        <w:t xml:space="preserve">ị giới hạn trong khả năng đo lường rủi ro </w:t>
      </w:r>
      <w:r>
        <w:t>là</w:t>
      </w:r>
      <w:r w:rsidR="009D0CD4">
        <w:t xml:space="preserve"> lý do cơ bản thúc đẩy </w:t>
      </w:r>
      <w:r>
        <w:t xml:space="preserve">việc </w:t>
      </w:r>
      <w:r w:rsidR="009D0CD4">
        <w:t xml:space="preserve">chuyển đổi sang </w:t>
      </w:r>
      <w:r>
        <w:t>mô hình RBC</w:t>
      </w:r>
      <w:r w:rsidR="009D0CD4">
        <w:t>.</w:t>
      </w:r>
      <w:r>
        <w:t xml:space="preserve"> Việc chuyển đổi sang RBC cho phép các cơ quan quản lý về bảo hiểm</w:t>
      </w:r>
      <w:r w:rsidR="009D0CD4">
        <w:t xml:space="preserve"> hiểu rõ hơn mức độ rủi ro của các công ty bảo hiểm và khả năng </w:t>
      </w:r>
      <w:r>
        <w:t xml:space="preserve">của doanh nghiệp </w:t>
      </w:r>
      <w:r w:rsidR="009D0CD4">
        <w:t>trong việc đo lường tất cả các rủi ro quan trọng và các nguồn lực kinh tế có sẵn.</w:t>
      </w:r>
      <w:r>
        <w:t xml:space="preserve"> </w:t>
      </w:r>
    </w:p>
    <w:p w:rsidR="009D0CD4" w:rsidRDefault="009E4FC1" w:rsidP="003931C4">
      <w:pPr>
        <w:shd w:val="clear" w:color="auto" w:fill="FFFFFF"/>
        <w:spacing w:before="120" w:after="120" w:line="240" w:lineRule="auto"/>
        <w:ind w:firstLine="720"/>
        <w:jc w:val="both"/>
      </w:pPr>
      <w:r>
        <w:t>Bên cạnh đó, việc chuyển đổi sang mô hình RBC cũng giúp các cơ quan quản lý</w:t>
      </w:r>
      <w:r w:rsidR="009D0CD4">
        <w:t xml:space="preserve"> áp dụng các yêu cầu phù hợp với bản chất, quy mô và độ phức tạp của một công ty bảo hiểm. Do đó, </w:t>
      </w:r>
      <w:r>
        <w:t>cơ quan quản lý bảo hiểm</w:t>
      </w:r>
      <w:r w:rsidR="009D0CD4">
        <w:t xml:space="preserve"> có thể thiết kế một </w:t>
      </w:r>
      <w:r>
        <w:t xml:space="preserve">khuôn khổ RBC </w:t>
      </w:r>
      <w:r w:rsidR="009D0CD4">
        <w:t xml:space="preserve">cho phép </w:t>
      </w:r>
      <w:r>
        <w:t xml:space="preserve">các doanh nghiệp bảo hiểm có mô hình kinh doanh đơn giản có thể áp dụng các quy định đơn giản và mức vốn thấp hơn các doanh nghiệp kinh doanh các nghiệp vụ bảo hiểm phức tạp và nhiều rủi ro. </w:t>
      </w:r>
    </w:p>
    <w:p w:rsidR="009D0CD4" w:rsidRDefault="009E4FC1" w:rsidP="003931C4">
      <w:pPr>
        <w:shd w:val="clear" w:color="auto" w:fill="FFFFFF"/>
        <w:spacing w:before="120" w:after="120" w:line="240" w:lineRule="auto"/>
        <w:ind w:firstLine="720"/>
        <w:jc w:val="both"/>
      </w:pPr>
      <w:r>
        <w:t>Việc thực hiện mô hình RBC cũng sẽ</w:t>
      </w:r>
      <w:r w:rsidR="009D0CD4">
        <w:t xml:space="preserve"> thúc đẩy sự ổn định tài chính bằng cách</w:t>
      </w:r>
      <w:r w:rsidR="00BC0557">
        <w:t xml:space="preserve"> sớm</w:t>
      </w:r>
      <w:r w:rsidR="009D0CD4">
        <w:t xml:space="preserve"> nhận diện</w:t>
      </w:r>
      <w:r w:rsidR="00BC0557">
        <w:t xml:space="preserve"> </w:t>
      </w:r>
      <w:r w:rsidR="009D0CD4">
        <w:t xml:space="preserve">và giảm thiểu rủi ro, đảm bảo </w:t>
      </w:r>
      <w:r>
        <w:t>mức vốn đủ tương ứng với rủi ro,</w:t>
      </w:r>
      <w:r w:rsidR="009D0CD4">
        <w:t xml:space="preserve"> giúp ngăn ngừa sự sụp đổ của hệ thống </w:t>
      </w:r>
      <w:r>
        <w:t xml:space="preserve">tài chính </w:t>
      </w:r>
      <w:r w:rsidR="009D0CD4">
        <w:t xml:space="preserve">bằng cách thúc đẩy các nguyên tắc quản lý </w:t>
      </w:r>
      <w:r>
        <w:t xml:space="preserve">vốn dựa trên cơ sở </w:t>
      </w:r>
      <w:r w:rsidR="009D0CD4">
        <w:t>rủi ro dựa trên cơ sở, đáp ứng các</w:t>
      </w:r>
      <w:r>
        <w:t xml:space="preserve"> điều kiện thị trường thay đổi và thúc đẩy thị trường bảo hiểm phát triển </w:t>
      </w:r>
      <w:r w:rsidR="009D0CD4">
        <w:t xml:space="preserve">ổn định và </w:t>
      </w:r>
      <w:r>
        <w:t>lành mạnh</w:t>
      </w:r>
      <w:r w:rsidR="009D0CD4">
        <w:t>.</w:t>
      </w:r>
    </w:p>
    <w:p w:rsidR="009D0CD4" w:rsidRPr="00984F5C" w:rsidRDefault="009E4FC1" w:rsidP="003931C4">
      <w:pPr>
        <w:shd w:val="clear" w:color="auto" w:fill="FFFFFF"/>
        <w:spacing w:before="120" w:after="120" w:line="240" w:lineRule="auto"/>
        <w:ind w:firstLine="720"/>
        <w:jc w:val="both"/>
        <w:rPr>
          <w:b/>
          <w:i/>
        </w:rPr>
      </w:pPr>
      <w:r w:rsidRPr="00984F5C">
        <w:rPr>
          <w:b/>
          <w:i/>
        </w:rPr>
        <w:t>b) Chi phí và cơ hội của việc chuyển đổi sang mô hình RBC</w:t>
      </w:r>
    </w:p>
    <w:p w:rsidR="00BC0557" w:rsidRDefault="00BC0557" w:rsidP="003931C4">
      <w:pPr>
        <w:shd w:val="clear" w:color="auto" w:fill="FFFFFF"/>
        <w:spacing w:before="120" w:after="120" w:line="240" w:lineRule="auto"/>
        <w:ind w:firstLine="720"/>
        <w:jc w:val="both"/>
      </w:pPr>
      <w:r>
        <w:t>Việc chuyển đổi sang mô hình vốn RBC sẽ mang lại những lợi ích như sau:</w:t>
      </w:r>
    </w:p>
    <w:p w:rsidR="00BC0557" w:rsidRDefault="00BC0557" w:rsidP="003931C4">
      <w:pPr>
        <w:shd w:val="clear" w:color="auto" w:fill="FFFFFF"/>
        <w:spacing w:before="120" w:after="120" w:line="240" w:lineRule="auto"/>
        <w:ind w:firstLine="720"/>
        <w:jc w:val="both"/>
      </w:pPr>
      <w:r>
        <w:t>(i) Mô hình RBC sẽ khuyến khích doanh nghiệp bảo hiểm xây dựng văn hóa quản lý rủi ro và tạo động lực cho các doanh nghiệp áp dụng các công cụ giám sát và quản lý rủi ro tinh vi hơn, nâng cao nhận thức về rủi ro, tăng cường sự minh bạch và niềm tin trong ngành bảo hiểm.</w:t>
      </w:r>
    </w:p>
    <w:p w:rsidR="00BC0557" w:rsidRDefault="00BC0557" w:rsidP="003931C4">
      <w:pPr>
        <w:shd w:val="clear" w:color="auto" w:fill="FFFFFF"/>
        <w:spacing w:before="120" w:after="120" w:line="240" w:lineRule="auto"/>
        <w:ind w:firstLine="720"/>
        <w:jc w:val="both"/>
      </w:pPr>
      <w:r>
        <w:t xml:space="preserve">(ii) Mô hình RBC sẽ đảm bảo mức vốn phù hợp với rủi ro, do đó sẽ góp phần nâng cao khả năng cạnh tranh và sự phát triển năng lực của các doanh nghiệp bảo hiểm. </w:t>
      </w:r>
      <w:r w:rsidR="00A872ED">
        <w:t>Do m</w:t>
      </w:r>
      <w:r>
        <w:t>ô hình RBC</w:t>
      </w:r>
      <w:r w:rsidR="00A872ED">
        <w:t xml:space="preserve"> định giá rủi ro chính xác hơn nên </w:t>
      </w:r>
      <w:r>
        <w:t>sẽ không bỏ sót các rủi ro chính hoặc</w:t>
      </w:r>
      <w:r w:rsidR="00A872ED">
        <w:t xml:space="preserve"> khiến các doanh nghiệp phải đội</w:t>
      </w:r>
      <w:r>
        <w:t xml:space="preserve"> thêm chi phí không cần thiết vào các sản phẩm bảo hiểm </w:t>
      </w:r>
      <w:r w:rsidR="00A872ED">
        <w:t>do gánh nặng tuân thủ</w:t>
      </w:r>
      <w:r>
        <w:t xml:space="preserve">. </w:t>
      </w:r>
    </w:p>
    <w:p w:rsidR="00A872ED" w:rsidRDefault="00A872ED" w:rsidP="003931C4">
      <w:pPr>
        <w:shd w:val="clear" w:color="auto" w:fill="FFFFFF"/>
        <w:spacing w:before="120" w:after="120" w:line="240" w:lineRule="auto"/>
        <w:ind w:firstLine="720"/>
        <w:jc w:val="both"/>
      </w:pPr>
      <w:r>
        <w:t xml:space="preserve">(iii) Mô hình RBC </w:t>
      </w:r>
      <w:r w:rsidR="00BC0557">
        <w:t xml:space="preserve">phù hợp với các tiêu chuẩn quốc tế và </w:t>
      </w:r>
      <w:r>
        <w:t>thông lệ quốc tế</w:t>
      </w:r>
      <w:r w:rsidR="00BC0557">
        <w:t xml:space="preserve"> tốt nhất. Khi các </w:t>
      </w:r>
      <w:r>
        <w:t xml:space="preserve">doanh nghiệp bảo hiểm </w:t>
      </w:r>
      <w:r w:rsidR="00BC0557">
        <w:t>mở rộng</w:t>
      </w:r>
      <w:r>
        <w:t xml:space="preserve"> hoạt động</w:t>
      </w:r>
      <w:r w:rsidR="00BC0557">
        <w:t xml:space="preserve"> ra thị trường</w:t>
      </w:r>
      <w:r>
        <w:t xml:space="preserve"> bảo hiểm</w:t>
      </w:r>
      <w:r w:rsidR="00BC0557">
        <w:t xml:space="preserve"> toàn cầu, </w:t>
      </w:r>
      <w:r>
        <w:t>thì các công ty bảo hiểm sẽ</w:t>
      </w:r>
      <w:r w:rsidR="00BC0557">
        <w:t xml:space="preserve"> trở nên nhạy cảm hơn với </w:t>
      </w:r>
      <w:proofErr w:type="gramStart"/>
      <w:r w:rsidR="00BC0557">
        <w:t>chu</w:t>
      </w:r>
      <w:proofErr w:type="gramEnd"/>
      <w:r w:rsidR="00BC0557">
        <w:t xml:space="preserve"> kỳ kinh doanh toàn cầu. Bằng cách triển khai </w:t>
      </w:r>
      <w:r>
        <w:t>mô hình vốn RBC</w:t>
      </w:r>
      <w:r w:rsidR="00BC0557">
        <w:t xml:space="preserve"> phù hợp, các </w:t>
      </w:r>
      <w:r>
        <w:t xml:space="preserve">công ty </w:t>
      </w:r>
      <w:r w:rsidR="00BC0557">
        <w:t xml:space="preserve">bảo hiểm sẽ được hưởng lợi từ </w:t>
      </w:r>
      <w:r>
        <w:t>việc đã tuân thủ tiêu chuẩn toàn cầu và cơ quan quản lý bảo hiểm các nước có thể xem xét cho phép việc thực hiện các giao dịch mua bán (M&amp;A) quốc tế thuận lợi hơn.</w:t>
      </w:r>
    </w:p>
    <w:p w:rsidR="00BC0557" w:rsidRDefault="00A872ED" w:rsidP="003931C4">
      <w:pPr>
        <w:shd w:val="clear" w:color="auto" w:fill="FFFFFF"/>
        <w:spacing w:before="120" w:after="120" w:line="240" w:lineRule="auto"/>
        <w:ind w:firstLine="720"/>
        <w:jc w:val="both"/>
      </w:pPr>
      <w:r>
        <w:t xml:space="preserve">(iv) Mô hình RBC sẽ </w:t>
      </w:r>
      <w:r w:rsidR="00BC0557">
        <w:t xml:space="preserve">thúc đẩy sự tích hợp chặt chẽ hơn giữa </w:t>
      </w:r>
      <w:r>
        <w:t xml:space="preserve">quản lý, </w:t>
      </w:r>
      <w:r w:rsidR="00BC0557">
        <w:t xml:space="preserve">giám sát </w:t>
      </w:r>
      <w:proofErr w:type="gramStart"/>
      <w:r w:rsidR="00BC0557">
        <w:t>vĩ</w:t>
      </w:r>
      <w:proofErr w:type="gramEnd"/>
      <w:r w:rsidR="00BC0557">
        <w:t xml:space="preserve"> mô và vi mô. </w:t>
      </w:r>
      <w:proofErr w:type="gramStart"/>
      <w:r>
        <w:t>Mô hình RBC</w:t>
      </w:r>
      <w:r w:rsidR="00BC0557">
        <w:t xml:space="preserve"> một quá trình liên tục và động, cho phép nhận diện sớm bất kỳ sự thay đổi </w:t>
      </w:r>
      <w:r>
        <w:t xml:space="preserve">nào </w:t>
      </w:r>
      <w:r w:rsidR="00BC0557">
        <w:t>trong môi trường có thể ảnh hưởng đến toàn bộ ngành bảo hiểm.</w:t>
      </w:r>
      <w:proofErr w:type="gramEnd"/>
      <w:r w:rsidR="00BC0557">
        <w:t xml:space="preserve"> Việc nhận d</w:t>
      </w:r>
      <w:r>
        <w:t xml:space="preserve">iện sớm các rủi ro giúp cơ quan quản lý nhà nước </w:t>
      </w:r>
      <w:r w:rsidR="00BC0557">
        <w:t xml:space="preserve">can thiệp kịp thời. Nhờ vào </w:t>
      </w:r>
      <w:r>
        <w:t>khả năng</w:t>
      </w:r>
      <w:r w:rsidR="00BC0557">
        <w:t xml:space="preserve"> so sánh tr</w:t>
      </w:r>
      <w:r>
        <w:t>ên toàn ngành bảo hiểm, các cơ quan quản lý có thể dễ dàng</w:t>
      </w:r>
      <w:r w:rsidR="00BC0557">
        <w:t xml:space="preserve"> nhận diện, đánh giá và giám sát các rủi ro và xu hướng có liên quan một cách hệ thống.</w:t>
      </w:r>
    </w:p>
    <w:p w:rsidR="006E0AA4" w:rsidRDefault="00A872ED" w:rsidP="003931C4">
      <w:pPr>
        <w:shd w:val="clear" w:color="auto" w:fill="FFFFFF"/>
        <w:spacing w:before="120" w:after="120" w:line="240" w:lineRule="auto"/>
        <w:ind w:firstLine="720"/>
        <w:jc w:val="both"/>
      </w:pPr>
      <w:r>
        <w:t xml:space="preserve">(v) Mô hình RBC giúp cơ quan quản lý nhà nước </w:t>
      </w:r>
      <w:r w:rsidR="00BC0557">
        <w:t xml:space="preserve">có cái nhìn sâu sắc hơn về hoạt động, khẩu vị rủi ro và các yếu tố chính ảnh hưởng đến rủi ro của công ty bảo hiểm. </w:t>
      </w:r>
      <w:proofErr w:type="gramStart"/>
      <w:r w:rsidR="00BC0557">
        <w:t xml:space="preserve">Điều này giúp </w:t>
      </w:r>
      <w:r>
        <w:t>cơ quan quản lý nhận diện</w:t>
      </w:r>
      <w:r w:rsidR="00BC0557">
        <w:t xml:space="preserve"> các công ty bảo hiểm </w:t>
      </w:r>
      <w:r w:rsidR="006E0AA4">
        <w:t xml:space="preserve">có </w:t>
      </w:r>
      <w:r>
        <w:t>hiểu biết rõ</w:t>
      </w:r>
      <w:r w:rsidR="00BC0557">
        <w:t xml:space="preserve"> hơn về các sản phẩm của </w:t>
      </w:r>
      <w:r>
        <w:t>công ty</w:t>
      </w:r>
      <w:r w:rsidR="00BC0557">
        <w:t xml:space="preserve"> </w:t>
      </w:r>
      <w:r w:rsidR="006E0AA4">
        <w:t xml:space="preserve">và </w:t>
      </w:r>
      <w:r w:rsidR="00BC0557">
        <w:t xml:space="preserve">có cái nhìn sâu sắc hơn về </w:t>
      </w:r>
      <w:r w:rsidR="006E0AA4">
        <w:t xml:space="preserve">lợi ích </w:t>
      </w:r>
      <w:r w:rsidR="00BC0557">
        <w:t>kinh tế của các loại sản phẩm khác nhau.</w:t>
      </w:r>
      <w:proofErr w:type="gramEnd"/>
      <w:r w:rsidR="00BC0557">
        <w:t xml:space="preserve"> </w:t>
      </w:r>
      <w:r w:rsidR="006E0AA4">
        <w:t>Để đáp ứng cá</w:t>
      </w:r>
      <w:r w:rsidR="00AF01AA">
        <w:t>c</w:t>
      </w:r>
      <w:r w:rsidR="006E0AA4">
        <w:t xml:space="preserve"> yêu cầu vốn mới, các công ty bảo hiểm có thể điều chỉnh và loại bỏ m</w:t>
      </w:r>
      <w:r w:rsidR="00BC0557">
        <w:t>ột số sản phẩm không còn mang lại lợi nhuận hoặc</w:t>
      </w:r>
    </w:p>
    <w:p w:rsidR="006E0AA4" w:rsidRDefault="006E0AA4" w:rsidP="003931C4">
      <w:pPr>
        <w:shd w:val="clear" w:color="auto" w:fill="FFFFFF"/>
        <w:spacing w:before="120" w:after="120" w:line="240" w:lineRule="auto"/>
        <w:ind w:firstLine="720"/>
        <w:jc w:val="both"/>
      </w:pPr>
      <w:r>
        <w:t>Tuy nhiên, việc chuyển đổi sang mô hình RBC cũng sẽ khiến cơ quan quản lý, doanh nghiệp chịu những chi phí như sau:</w:t>
      </w:r>
    </w:p>
    <w:p w:rsidR="00BC0557" w:rsidRDefault="006E0AA4" w:rsidP="003931C4">
      <w:pPr>
        <w:shd w:val="clear" w:color="auto" w:fill="FFFFFF"/>
        <w:spacing w:before="120" w:after="120" w:line="240" w:lineRule="auto"/>
        <w:ind w:firstLine="720"/>
        <w:jc w:val="both"/>
      </w:pPr>
      <w:r>
        <w:t>(i)</w:t>
      </w:r>
      <w:r w:rsidR="00BC0557">
        <w:t xml:space="preserve"> Việc phát tr</w:t>
      </w:r>
      <w:r w:rsidR="00AF01AA">
        <w:t>iển và triển khai mô hình RBC</w:t>
      </w:r>
      <w:r w:rsidR="00BC0557">
        <w:t xml:space="preserve"> </w:t>
      </w:r>
      <w:r w:rsidR="00AF01AA">
        <w:t xml:space="preserve">sẽ khiến cả doanh nghiệp bảo hiểm và cơ quan quản lý bảo hiểm phải đầu tư các </w:t>
      </w:r>
      <w:r w:rsidR="00BC0557">
        <w:t xml:space="preserve">chi phí liên quan đến việc xây dựng năng lực, thiết lập cơ sở hạ tầng công nghệ </w:t>
      </w:r>
      <w:r w:rsidR="00AF01AA">
        <w:t xml:space="preserve">thông tin </w:t>
      </w:r>
      <w:r w:rsidR="00BC0557">
        <w:t xml:space="preserve">phù hợp và thu thập dữ liệu. Chi phí </w:t>
      </w:r>
      <w:r w:rsidR="00AF01AA">
        <w:t xml:space="preserve">đầu tư </w:t>
      </w:r>
      <w:r w:rsidR="00BC0557">
        <w:t xml:space="preserve">ban đầu </w:t>
      </w:r>
      <w:r w:rsidR="00AF01AA">
        <w:t xml:space="preserve">sẽ đáng kể và ảnh hưởng </w:t>
      </w:r>
      <w:r w:rsidR="00BC0557">
        <w:t>trực tiếp hoặc gián tiếp</w:t>
      </w:r>
      <w:r w:rsidR="001D61F9">
        <w:t xml:space="preserve"> đến chi phí hoạt động của doanh nghiệp và cơ quan quản lý</w:t>
      </w:r>
      <w:r w:rsidR="00BC0557">
        <w:t>.</w:t>
      </w:r>
    </w:p>
    <w:p w:rsidR="00BC0557" w:rsidRDefault="001D61F9" w:rsidP="003931C4">
      <w:pPr>
        <w:shd w:val="clear" w:color="auto" w:fill="FFFFFF"/>
        <w:spacing w:before="120" w:after="120" w:line="240" w:lineRule="auto"/>
        <w:ind w:firstLine="720"/>
        <w:jc w:val="both"/>
      </w:pPr>
      <w:r>
        <w:t>(ii)</w:t>
      </w:r>
      <w:r w:rsidR="00BC0557">
        <w:t xml:space="preserve"> </w:t>
      </w:r>
      <w:r>
        <w:t>Mô hình RBC</w:t>
      </w:r>
      <w:r w:rsidR="00BC0557">
        <w:t xml:space="preserve"> chỉ có thể được triển khai hiệu quả khi cơ quan </w:t>
      </w:r>
      <w:r>
        <w:t xml:space="preserve">quản lý, giám sát </w:t>
      </w:r>
      <w:r w:rsidR="00560936">
        <w:t xml:space="preserve">có đội </w:t>
      </w:r>
      <w:proofErr w:type="gramStart"/>
      <w:r w:rsidR="00560936">
        <w:t>ngũ</w:t>
      </w:r>
      <w:proofErr w:type="gramEnd"/>
      <w:r w:rsidR="00560936">
        <w:t xml:space="preserve"> cán bộ có chuyên môn về tính toán, kế toán tài chính, quản trị rủi ro</w:t>
      </w:r>
      <w:r w:rsidR="00BC0557">
        <w:t xml:space="preserve"> và công nghệ thông tin (IT). </w:t>
      </w:r>
      <w:r w:rsidR="00560936">
        <w:t xml:space="preserve">Do vậy, cả cơ quan quản lý về bảo hiểm cần phải đầu tư thời gian và tiền bạc vào việc </w:t>
      </w:r>
      <w:r w:rsidR="00BC0557">
        <w:t>đào tạo nhân viên</w:t>
      </w:r>
      <w:r w:rsidR="00560936">
        <w:t xml:space="preserve">, đặc biệt là đội </w:t>
      </w:r>
      <w:proofErr w:type="gramStart"/>
      <w:r w:rsidR="00560936">
        <w:t>ngũ</w:t>
      </w:r>
      <w:proofErr w:type="gramEnd"/>
      <w:r w:rsidR="00560936">
        <w:t xml:space="preserve"> có chuyên mô cao để có thể xử lý được công việc</w:t>
      </w:r>
      <w:r w:rsidR="00BC0557">
        <w:t>.</w:t>
      </w:r>
    </w:p>
    <w:p w:rsidR="00BC0557" w:rsidRDefault="00560936" w:rsidP="003931C4">
      <w:pPr>
        <w:shd w:val="clear" w:color="auto" w:fill="FFFFFF"/>
        <w:spacing w:before="120" w:after="120" w:line="240" w:lineRule="auto"/>
        <w:ind w:firstLine="720"/>
        <w:jc w:val="both"/>
      </w:pPr>
      <w:r>
        <w:t>(iii)</w:t>
      </w:r>
      <w:r w:rsidR="00BC0557">
        <w:t xml:space="preserve"> Công ty bảo hiểm cũng sẽ phải chịu chi phí để đảm bảo có đủ nguồn lực đáp ứng các yêu cầu của </w:t>
      </w:r>
      <w:r>
        <w:t>mô hình RBC</w:t>
      </w:r>
      <w:r w:rsidR="00BC0557">
        <w:t xml:space="preserve">. </w:t>
      </w:r>
      <w:proofErr w:type="gramStart"/>
      <w:r w:rsidR="00BC0557">
        <w:t xml:space="preserve">Tương tự như cơ quan </w:t>
      </w:r>
      <w:r>
        <w:t>quản lý bảo hiểm</w:t>
      </w:r>
      <w:r w:rsidR="00BC0557">
        <w:t xml:space="preserve">, công ty bảo hiểm </w:t>
      </w:r>
      <w:r>
        <w:t>sẽ</w:t>
      </w:r>
      <w:r w:rsidR="00BC0557">
        <w:t xml:space="preserve"> cần tuyển dụng thêm nhân sự để tham gia vào quá trình phát triển và triển khai của </w:t>
      </w:r>
      <w:r>
        <w:t>mô hình RBC</w:t>
      </w:r>
      <w:r w:rsidR="00BC0557">
        <w:t>.</w:t>
      </w:r>
      <w:proofErr w:type="gramEnd"/>
      <w:r w:rsidR="00BC0557">
        <w:t xml:space="preserve"> Việc đào tạo cho cả nhân viên và cơ cấu quản trị trong công ty bảo hiểm sẽ là cần thiết.</w:t>
      </w:r>
    </w:p>
    <w:p w:rsidR="00062D44" w:rsidRDefault="00560936" w:rsidP="003931C4">
      <w:pPr>
        <w:shd w:val="clear" w:color="auto" w:fill="FFFFFF"/>
        <w:spacing w:before="120" w:after="120" w:line="240" w:lineRule="auto"/>
        <w:ind w:firstLine="720"/>
        <w:jc w:val="both"/>
      </w:pPr>
      <w:r>
        <w:t>(iv) Mô hình RBC</w:t>
      </w:r>
      <w:r w:rsidR="00BC0557">
        <w:t xml:space="preserve"> sẽ yêu cầu cơ sở hạ tầng công nghệ phù hợp và khả năng </w:t>
      </w:r>
      <w:proofErr w:type="gramStart"/>
      <w:r w:rsidR="00BC0557">
        <w:t>thu</w:t>
      </w:r>
      <w:proofErr w:type="gramEnd"/>
      <w:r w:rsidR="00BC0557">
        <w:t xml:space="preserve"> thập dữ liệu </w:t>
      </w:r>
      <w:r>
        <w:t>của cơ quan quản lý bảo hiểm</w:t>
      </w:r>
      <w:r w:rsidR="00BC0557">
        <w:t>.</w:t>
      </w:r>
      <w:r>
        <w:t xml:space="preserve"> Do đó, c</w:t>
      </w:r>
      <w:r w:rsidR="00BC0557">
        <w:t xml:space="preserve">ơ quan </w:t>
      </w:r>
      <w:r>
        <w:t xml:space="preserve">quản lý bảo hiểm cần </w:t>
      </w:r>
      <w:r w:rsidR="00062D44">
        <w:t>xây dựng hệ thống công nghệ thông tin</w:t>
      </w:r>
      <w:r w:rsidR="00BC0557">
        <w:t xml:space="preserve"> phù hợp để </w:t>
      </w:r>
      <w:proofErr w:type="gramStart"/>
      <w:r w:rsidR="00BC0557">
        <w:t>thu</w:t>
      </w:r>
      <w:proofErr w:type="gramEnd"/>
      <w:r w:rsidR="00BC0557">
        <w:t xml:space="preserve"> thập, </w:t>
      </w:r>
      <w:r w:rsidR="00062D44">
        <w:t xml:space="preserve">tổng hợp và phân tích dữ liệu. </w:t>
      </w:r>
    </w:p>
    <w:p w:rsidR="00BC0557" w:rsidRDefault="00062D44" w:rsidP="003931C4">
      <w:pPr>
        <w:shd w:val="clear" w:color="auto" w:fill="FFFFFF"/>
        <w:spacing w:before="120" w:after="120" w:line="240" w:lineRule="auto"/>
        <w:ind w:firstLine="720"/>
        <w:jc w:val="both"/>
      </w:pPr>
      <w:r>
        <w:t>(v) Việc triển khai và áp dụng mô hình RBC</w:t>
      </w:r>
      <w:r w:rsidR="00BC0557">
        <w:t xml:space="preserve"> cũng </w:t>
      </w:r>
      <w:r>
        <w:t xml:space="preserve">sẽ khiến </w:t>
      </w:r>
      <w:r w:rsidR="00BC0557">
        <w:t>các</w:t>
      </w:r>
      <w:r>
        <w:t xml:space="preserve"> công ty bảo hiểm có thể phải</w:t>
      </w:r>
      <w:r w:rsidR="00BC0557">
        <w:t xml:space="preserve"> thay đổi mô hình kinh doanh, cơ cấu tổ chức và hệ thống. </w:t>
      </w:r>
      <w:r>
        <w:t>Do mô hình RBC sẽ phản ánh hoạt động kinh doanh của doanh nghiệp, nên doanh nghiệp có thể sẽ phải điều chỉnh một số sản phẩm không hiệu quả để đáp ứng yêu cầu về vốn. Điều này sẽ dẫn đến chi phí bổ sung để thiết lập và phát triển</w:t>
      </w:r>
      <w:r w:rsidR="00BC0557">
        <w:t xml:space="preserve"> hệ thống mới.</w:t>
      </w:r>
    </w:p>
    <w:p w:rsidR="00BC0557" w:rsidRDefault="00062D44" w:rsidP="003931C4">
      <w:pPr>
        <w:shd w:val="clear" w:color="auto" w:fill="FFFFFF"/>
        <w:spacing w:before="120" w:after="120" w:line="240" w:lineRule="auto"/>
        <w:ind w:firstLine="720"/>
        <w:jc w:val="both"/>
      </w:pPr>
      <w:proofErr w:type="gramStart"/>
      <w:r>
        <w:t>(vi) Mô</w:t>
      </w:r>
      <w:proofErr w:type="gramEnd"/>
      <w:r>
        <w:t xml:space="preserve"> hình RBC quá </w:t>
      </w:r>
      <w:r w:rsidR="00BC0557">
        <w:t xml:space="preserve">phức tạp </w:t>
      </w:r>
      <w:r>
        <w:t xml:space="preserve">cũng </w:t>
      </w:r>
      <w:r w:rsidR="00BC0557">
        <w:t xml:space="preserve">có thể làm tăng chi phí </w:t>
      </w:r>
      <w:r>
        <w:t>đối với</w:t>
      </w:r>
      <w:r w:rsidR="00BC0557">
        <w:t xml:space="preserve"> các công ty bảo hiểm nhỏ </w:t>
      </w:r>
      <w:r>
        <w:t>và có mô hình kinh doanh đơn giản</w:t>
      </w:r>
      <w:r w:rsidR="00BC0557">
        <w:t xml:space="preserve">. </w:t>
      </w:r>
      <w:proofErr w:type="gramStart"/>
      <w:r w:rsidR="00BC0557">
        <w:t xml:space="preserve">Nếu </w:t>
      </w:r>
      <w:r>
        <w:t>mô hình RBC</w:t>
      </w:r>
      <w:r w:rsidR="00BC0557">
        <w:t xml:space="preserve"> không phản ánh đúng bản chất, quy mô và độ phức tạp của ngành bảo hiểm </w:t>
      </w:r>
      <w:r>
        <w:t>thì sẽ</w:t>
      </w:r>
      <w:r w:rsidR="00BC0557">
        <w:t xml:space="preserve"> tạo ra gánh nặng </w:t>
      </w:r>
      <w:r>
        <w:t>chi phí tuân thủ</w:t>
      </w:r>
      <w:r w:rsidR="00BC0557">
        <w:t xml:space="preserve"> cho các công ty bảo hiểm nhỏ hơn đến mức họ có thể </w:t>
      </w:r>
      <w:r>
        <w:t>phải</w:t>
      </w:r>
      <w:r w:rsidR="00BC0557">
        <w:t xml:space="preserve"> rút khỏi thị trường.</w:t>
      </w:r>
      <w:proofErr w:type="gramEnd"/>
      <w:r w:rsidR="00BC0557">
        <w:t xml:space="preserve"> Do đó, </w:t>
      </w:r>
      <w:r>
        <w:t>cần phải xây dựng và triển khai mô hình RBC một cách phù hợp và khả thi.</w:t>
      </w:r>
    </w:p>
    <w:p w:rsidR="00BC0557" w:rsidRPr="00062D44" w:rsidRDefault="00062D44" w:rsidP="003931C4">
      <w:pPr>
        <w:shd w:val="clear" w:color="auto" w:fill="FFFFFF"/>
        <w:spacing w:before="120" w:after="120" w:line="240" w:lineRule="auto"/>
        <w:ind w:firstLine="720"/>
        <w:jc w:val="both"/>
        <w:rPr>
          <w:b/>
        </w:rPr>
      </w:pPr>
      <w:r w:rsidRPr="00062D44">
        <w:rPr>
          <w:b/>
        </w:rPr>
        <w:t>2. Các yếu tố cần xem xét khi chuyển đổi sang mô hình RBC</w:t>
      </w:r>
    </w:p>
    <w:p w:rsidR="00822D08" w:rsidRDefault="00822D08" w:rsidP="003931C4">
      <w:pPr>
        <w:shd w:val="clear" w:color="auto" w:fill="FFFFFF"/>
        <w:spacing w:before="120" w:after="120" w:line="240" w:lineRule="auto"/>
        <w:ind w:firstLine="720"/>
        <w:jc w:val="both"/>
      </w:pPr>
      <w:r>
        <w:t xml:space="preserve">Để tạo thuận lợi cho quá trình chuyển đổi sang mô hình RBC, cơ quan quản lý bảo hiểm cần phải xem xét các yếu tố về điều kiện kinh tế, </w:t>
      </w:r>
      <w:r w:rsidR="003E7995">
        <w:t xml:space="preserve">mức độ phát triển của </w:t>
      </w:r>
      <w:r>
        <w:t xml:space="preserve">thị trường tài chính, </w:t>
      </w:r>
      <w:r w:rsidR="003E7995">
        <w:t xml:space="preserve">nhân khẩu học và </w:t>
      </w:r>
      <w:r>
        <w:t>văn hóa</w:t>
      </w:r>
      <w:r w:rsidR="003E7995">
        <w:t xml:space="preserve"> sử dụng bảo hiểm</w:t>
      </w:r>
      <w:r>
        <w:t>, mức độ phát triển</w:t>
      </w:r>
      <w:r w:rsidR="003E7995">
        <w:t xml:space="preserve"> và phức tạp</w:t>
      </w:r>
      <w:r>
        <w:t xml:space="preserve"> của ngành bảo hiểm, </w:t>
      </w:r>
      <w:r w:rsidR="003E7995">
        <w:t xml:space="preserve">mức độ phức tạp của bảng cân đối kế toán và rủi ro, </w:t>
      </w:r>
      <w:r>
        <w:t>mức độ đầy đủ của cơ sở dữ</w:t>
      </w:r>
      <w:r w:rsidR="003E7995">
        <w:t xml:space="preserve"> liệu và</w:t>
      </w:r>
      <w:r>
        <w:t xml:space="preserve"> </w:t>
      </w:r>
      <w:r w:rsidR="003E7995">
        <w:t>nguồn lực</w:t>
      </w:r>
      <w:r>
        <w:t xml:space="preserve"> của cơ quan quản lý, cụ thể như sau:</w:t>
      </w:r>
    </w:p>
    <w:p w:rsidR="00822D08" w:rsidRPr="002C48D0" w:rsidRDefault="003E7995" w:rsidP="003931C4">
      <w:pPr>
        <w:shd w:val="clear" w:color="auto" w:fill="FFFFFF"/>
        <w:spacing w:before="120" w:after="120" w:line="240" w:lineRule="auto"/>
        <w:ind w:firstLine="720"/>
        <w:jc w:val="both"/>
        <w:rPr>
          <w:b/>
          <w:i/>
        </w:rPr>
      </w:pPr>
      <w:r w:rsidRPr="002C48D0">
        <w:rPr>
          <w:b/>
          <w:i/>
        </w:rPr>
        <w:t>a) Về đ</w:t>
      </w:r>
      <w:r w:rsidR="00822D08" w:rsidRPr="002C48D0">
        <w:rPr>
          <w:b/>
          <w:i/>
        </w:rPr>
        <w:t>iều kiện</w:t>
      </w:r>
      <w:r w:rsidRPr="002C48D0">
        <w:rPr>
          <w:b/>
          <w:i/>
        </w:rPr>
        <w:t xml:space="preserve"> phát triển</w:t>
      </w:r>
      <w:r w:rsidR="00822D08" w:rsidRPr="002C48D0">
        <w:rPr>
          <w:b/>
          <w:i/>
        </w:rPr>
        <w:t xml:space="preserve"> kinh tế </w:t>
      </w:r>
    </w:p>
    <w:p w:rsidR="00822D08" w:rsidRDefault="00822D08" w:rsidP="003931C4">
      <w:pPr>
        <w:shd w:val="clear" w:color="auto" w:fill="FFFFFF"/>
        <w:spacing w:before="120" w:after="120" w:line="240" w:lineRule="auto"/>
        <w:ind w:firstLine="720"/>
        <w:jc w:val="both"/>
      </w:pPr>
      <w:r>
        <w:t>Các chính sách</w:t>
      </w:r>
      <w:r w:rsidR="003E7995">
        <w:t xml:space="preserve"> kinh tế</w:t>
      </w:r>
      <w:r>
        <w:t xml:space="preserve"> </w:t>
      </w:r>
      <w:proofErr w:type="gramStart"/>
      <w:r>
        <w:t>vĩ</w:t>
      </w:r>
      <w:proofErr w:type="gramEnd"/>
      <w:r>
        <w:t xml:space="preserve"> mô và tài chính bền vững là yếu t</w:t>
      </w:r>
      <w:r w:rsidR="003E7995">
        <w:t>ố then chốt trong việc triển khai thực hiện mô hình RBC</w:t>
      </w:r>
      <w:r>
        <w:t xml:space="preserve">. </w:t>
      </w:r>
      <w:r w:rsidR="003E7995">
        <w:t>Cơ quan quản lý về bảo hiểm cần phải</w:t>
      </w:r>
      <w:r>
        <w:t xml:space="preserve"> hiểu rõ vai trò của các cơ quan khác nhau liên quan đến ổn định tài chính và công tác </w:t>
      </w:r>
      <w:r w:rsidR="003E7995">
        <w:t xml:space="preserve">quản lý, </w:t>
      </w:r>
      <w:r>
        <w:t xml:space="preserve">giám sát, cũng như tác động của các chính sách của </w:t>
      </w:r>
      <w:r w:rsidR="003E7995">
        <w:t>cơ quan này</w:t>
      </w:r>
      <w:r>
        <w:t xml:space="preserve"> đến quá trình chuyển đổi </w:t>
      </w:r>
      <w:r w:rsidR="003E7995">
        <w:t>RBC và ngược lại</w:t>
      </w:r>
      <w:r>
        <w:t>.</w:t>
      </w:r>
    </w:p>
    <w:p w:rsidR="00822D08" w:rsidRDefault="002C48D0" w:rsidP="003931C4">
      <w:pPr>
        <w:shd w:val="clear" w:color="auto" w:fill="FFFFFF"/>
        <w:spacing w:before="120" w:after="120" w:line="240" w:lineRule="auto"/>
        <w:ind w:firstLine="720"/>
        <w:jc w:val="both"/>
      </w:pPr>
      <w:r>
        <w:t xml:space="preserve">Nền kinh tế </w:t>
      </w:r>
      <w:proofErr w:type="gramStart"/>
      <w:r>
        <w:t>vĩ</w:t>
      </w:r>
      <w:proofErr w:type="gramEnd"/>
      <w:r>
        <w:t xml:space="preserve"> mô ổn định sẽ giúp việc chuyển đổi sang mô hình RBC thuận lợi hơn nền kinh tế thường xuyên gặp khủng hoảng. Vì t</w:t>
      </w:r>
      <w:r w:rsidR="00822D08">
        <w:t xml:space="preserve">rong trường hợp xảy ra khủng hoảng kinh tế, ngành bảo hiểm có thể được huy động </w:t>
      </w:r>
      <w:r>
        <w:t>toàn lực</w:t>
      </w:r>
      <w:r w:rsidR="00822D08">
        <w:t xml:space="preserve"> để xử lý khủng hoảng, do đó cần cân nhắc các yếu tố</w:t>
      </w:r>
      <w:r>
        <w:t xml:space="preserve"> kinh tế vĩ mô</w:t>
      </w:r>
      <w:r w:rsidR="00822D08">
        <w:t xml:space="preserve"> này để đảm bảo </w:t>
      </w:r>
      <w:r>
        <w:t>việc triển khai</w:t>
      </w:r>
      <w:r w:rsidR="00822D08">
        <w:t xml:space="preserve"> quy định mới phù hợp với tình hình thực tế.</w:t>
      </w:r>
    </w:p>
    <w:p w:rsidR="00822D08" w:rsidRDefault="002C48D0" w:rsidP="003931C4">
      <w:pPr>
        <w:shd w:val="clear" w:color="auto" w:fill="FFFFFF"/>
        <w:spacing w:before="120" w:after="120" w:line="240" w:lineRule="auto"/>
        <w:ind w:firstLine="720"/>
        <w:jc w:val="both"/>
      </w:pPr>
      <w:proofErr w:type="gramStart"/>
      <w:r>
        <w:t>Bên cạnh đó, việc tính toán các hệ số rủi ro trong mô hình RBC phụ thuộc vào dữ liệu lịch sử trong một thời gian dài.</w:t>
      </w:r>
      <w:proofErr w:type="gramEnd"/>
      <w:r>
        <w:t xml:space="preserve"> </w:t>
      </w:r>
      <w:proofErr w:type="gramStart"/>
      <w:r>
        <w:t>Các dữ liệu này sẽ</w:t>
      </w:r>
      <w:r w:rsidR="00822D08">
        <w:t xml:space="preserve"> đáng tin cậy </w:t>
      </w:r>
      <w:r>
        <w:t xml:space="preserve">hơn khi </w:t>
      </w:r>
      <w:r w:rsidR="00822D08">
        <w:t>được triển khai dựa trên dữ liệu kinh tế và xã hội ổn định trong một khoảng thời gian nhất định.</w:t>
      </w:r>
      <w:proofErr w:type="gramEnd"/>
      <w:r w:rsidR="00822D08">
        <w:t xml:space="preserve"> </w:t>
      </w:r>
    </w:p>
    <w:p w:rsidR="00822D08" w:rsidRDefault="002C48D0" w:rsidP="003931C4">
      <w:pPr>
        <w:shd w:val="clear" w:color="auto" w:fill="FFFFFF"/>
        <w:spacing w:before="120" w:after="120" w:line="240" w:lineRule="auto"/>
        <w:ind w:firstLine="720"/>
        <w:jc w:val="both"/>
      </w:pPr>
      <w:proofErr w:type="gramStart"/>
      <w:r>
        <w:t xml:space="preserve">Ngoài ra, cần xem xét đến môi trường pháp lý </w:t>
      </w:r>
      <w:r w:rsidR="00822D08">
        <w:t xml:space="preserve">bao gồm </w:t>
      </w:r>
      <w:r>
        <w:t xml:space="preserve">hệ thống </w:t>
      </w:r>
      <w:r w:rsidR="00822D08">
        <w:t xml:space="preserve">pháp </w:t>
      </w:r>
      <w:r>
        <w:t>luật</w:t>
      </w:r>
      <w:r w:rsidR="00822D08">
        <w:t xml:space="preserve">, hệ thống tư pháp, </w:t>
      </w:r>
      <w:r w:rsidR="00A33E0E">
        <w:t xml:space="preserve">hệ thống </w:t>
      </w:r>
      <w:r w:rsidR="00822D08">
        <w:t>kế toán và kiểm toán, cũng như dữ liệu và thống kê.</w:t>
      </w:r>
      <w:proofErr w:type="gramEnd"/>
      <w:r w:rsidR="00822D08">
        <w:t xml:space="preserve"> </w:t>
      </w:r>
      <w:proofErr w:type="gramStart"/>
      <w:r w:rsidR="00822D08">
        <w:t xml:space="preserve">Các quy trình và </w:t>
      </w:r>
      <w:r w:rsidR="00A33E0E">
        <w:t>hệ thống pháp luật</w:t>
      </w:r>
      <w:r w:rsidR="00822D08">
        <w:t xml:space="preserve"> bảo vệ người tiêu dùng</w:t>
      </w:r>
      <w:r w:rsidR="00A33E0E">
        <w:t xml:space="preserve"> cần phải hiệu quả</w:t>
      </w:r>
      <w:r w:rsidR="00822D08">
        <w:t xml:space="preserve"> để tránh ảnh h</w:t>
      </w:r>
      <w:r w:rsidR="00A33E0E">
        <w:t>ưởng không mong muốn.</w:t>
      </w:r>
      <w:proofErr w:type="gramEnd"/>
      <w:r w:rsidR="00A33E0E">
        <w:t xml:space="preserve"> C</w:t>
      </w:r>
      <w:r w:rsidR="00822D08">
        <w:t>ác chuyên gia</w:t>
      </w:r>
      <w:r w:rsidR="00A33E0E">
        <w:t xml:space="preserve"> tính </w:t>
      </w:r>
      <w:proofErr w:type="gramStart"/>
      <w:r w:rsidR="00A33E0E">
        <w:t>toán ,</w:t>
      </w:r>
      <w:proofErr w:type="gramEnd"/>
      <w:r w:rsidR="00A33E0E">
        <w:t xml:space="preserve"> kế toán và kiểm toán</w:t>
      </w:r>
      <w:r w:rsidR="00822D08">
        <w:t xml:space="preserve"> có kỹ năng</w:t>
      </w:r>
      <w:r w:rsidR="00A33E0E">
        <w:t>, trình độ</w:t>
      </w:r>
      <w:r w:rsidR="00822D08">
        <w:t xml:space="preserve"> và đạo đức cao là cần thiết để c</w:t>
      </w:r>
      <w:r w:rsidR="00A33E0E">
        <w:t>ơ quan quản lý có thể dựa vào kết quả công việc của họ</w:t>
      </w:r>
      <w:r w:rsidR="00822D08">
        <w:t xml:space="preserve">. </w:t>
      </w:r>
      <w:proofErr w:type="gramStart"/>
      <w:r w:rsidR="00822D08">
        <w:t xml:space="preserve">Cuối cùng, </w:t>
      </w:r>
      <w:r w:rsidR="00A33E0E">
        <w:t>cần phải tiếp cận được</w:t>
      </w:r>
      <w:r w:rsidR="00822D08">
        <w:t xml:space="preserve"> </w:t>
      </w:r>
      <w:r w:rsidR="00A33E0E">
        <w:t xml:space="preserve">nguồn </w:t>
      </w:r>
      <w:r w:rsidR="00822D08">
        <w:t xml:space="preserve">dữ liệu và thống kê kinh tế, </w:t>
      </w:r>
      <w:r w:rsidR="00A33E0E">
        <w:t>tài chính và xã hội đáng tin cậy</w:t>
      </w:r>
      <w:r w:rsidR="00822D08">
        <w:t>.</w:t>
      </w:r>
      <w:proofErr w:type="gramEnd"/>
    </w:p>
    <w:p w:rsidR="00822D08" w:rsidRPr="00A33E0E" w:rsidRDefault="00A33E0E" w:rsidP="003931C4">
      <w:pPr>
        <w:shd w:val="clear" w:color="auto" w:fill="FFFFFF"/>
        <w:spacing w:before="120" w:after="120" w:line="240" w:lineRule="auto"/>
        <w:ind w:firstLine="720"/>
        <w:jc w:val="both"/>
        <w:rPr>
          <w:b/>
          <w:i/>
        </w:rPr>
      </w:pPr>
      <w:r w:rsidRPr="00A33E0E">
        <w:rPr>
          <w:b/>
          <w:i/>
        </w:rPr>
        <w:t>b) Mức độ phát triển của t</w:t>
      </w:r>
      <w:r w:rsidR="00822D08" w:rsidRPr="00A33E0E">
        <w:rPr>
          <w:b/>
          <w:i/>
        </w:rPr>
        <w:t>hị trường tài chính</w:t>
      </w:r>
    </w:p>
    <w:p w:rsidR="000258E9" w:rsidRDefault="00822D08" w:rsidP="003931C4">
      <w:pPr>
        <w:shd w:val="clear" w:color="auto" w:fill="FFFFFF"/>
        <w:spacing w:before="120" w:after="120" w:line="240" w:lineRule="auto"/>
        <w:ind w:firstLine="720"/>
        <w:jc w:val="both"/>
      </w:pPr>
      <w:r>
        <w:t xml:space="preserve">Mức độ phát triển của thị trường tài chính </w:t>
      </w:r>
      <w:r w:rsidR="00A33E0E">
        <w:t>sẽ</w:t>
      </w:r>
      <w:r>
        <w:t xml:space="preserve"> ảnh hưởng </w:t>
      </w:r>
      <w:r w:rsidR="00A33E0E">
        <w:t>lớn</w:t>
      </w:r>
      <w:r>
        <w:t xml:space="preserve"> đến phạm </w:t>
      </w:r>
      <w:proofErr w:type="gramStart"/>
      <w:r>
        <w:t>vi</w:t>
      </w:r>
      <w:proofErr w:type="gramEnd"/>
      <w:r>
        <w:t>, loại</w:t>
      </w:r>
      <w:r w:rsidR="00A33E0E">
        <w:t xml:space="preserve"> mô hình RBC</w:t>
      </w:r>
      <w:r>
        <w:t xml:space="preserve"> và cách</w:t>
      </w:r>
      <w:r w:rsidR="00A33E0E">
        <w:t xml:space="preserve"> tiếp cận triển khai mô hình RBC</w:t>
      </w:r>
      <w:r>
        <w:t xml:space="preserve">. </w:t>
      </w:r>
      <w:proofErr w:type="gramStart"/>
      <w:r>
        <w:t>C</w:t>
      </w:r>
      <w:r w:rsidR="00A33E0E">
        <w:t>ần xem xét kỹ càng c</w:t>
      </w:r>
      <w:r>
        <w:t>ác khía cạnh như hiệu quả thị trường, kỷ luật thị trường và mức độ phát triển của thị trường tài chính.</w:t>
      </w:r>
      <w:proofErr w:type="gramEnd"/>
      <w:r w:rsidR="00A33E0E">
        <w:t xml:space="preserve"> </w:t>
      </w:r>
      <w:r w:rsidR="000258E9">
        <w:t>Cụ thể là:</w:t>
      </w:r>
    </w:p>
    <w:p w:rsidR="00822D08" w:rsidRDefault="000258E9" w:rsidP="003931C4">
      <w:pPr>
        <w:shd w:val="clear" w:color="auto" w:fill="FFFFFF"/>
        <w:spacing w:before="120" w:after="120" w:line="240" w:lineRule="auto"/>
        <w:ind w:firstLine="720"/>
        <w:jc w:val="both"/>
      </w:pPr>
      <w:r>
        <w:t>(i) T</w:t>
      </w:r>
      <w:r w:rsidR="00A33E0E">
        <w:t>hị trường tài chính hiệu quả sẽ</w:t>
      </w:r>
      <w:r w:rsidR="00822D08">
        <w:t xml:space="preserve"> là một bệ phóng cho việc triển khai</w:t>
      </w:r>
      <w:r w:rsidR="00A33E0E">
        <w:t xml:space="preserve"> mô hình RBC</w:t>
      </w:r>
      <w:r w:rsidR="00822D08">
        <w:t xml:space="preserve"> và có thể ảnh hưởng đến </w:t>
      </w:r>
      <w:r w:rsidR="00A33E0E">
        <w:t>việc lựa chọn mô hình RBC</w:t>
      </w:r>
      <w:r w:rsidR="00822D08">
        <w:t xml:space="preserve">, đặc biệt là phương pháp định giá. </w:t>
      </w:r>
      <w:proofErr w:type="gramStart"/>
      <w:r w:rsidR="00822D08">
        <w:t>Một thị trường tài chính hiệu quả là nơi giá tài sản phản ánh đầy đủ tất cả thông tin và hỗ trợ tốt cho việc đầu tư cũng như quản lý rủi ro của các công ty bảo hiểm.</w:t>
      </w:r>
      <w:proofErr w:type="gramEnd"/>
    </w:p>
    <w:p w:rsidR="00822D08" w:rsidRDefault="000258E9" w:rsidP="003931C4">
      <w:pPr>
        <w:shd w:val="clear" w:color="auto" w:fill="FFFFFF"/>
        <w:spacing w:before="120" w:after="120" w:line="240" w:lineRule="auto"/>
        <w:ind w:firstLine="720"/>
        <w:jc w:val="both"/>
      </w:pPr>
      <w:r>
        <w:t>(ii)</w:t>
      </w:r>
      <w:r w:rsidR="00822D08">
        <w:t xml:space="preserve"> Mức độ kỷ luật thị trường sẽ có tác động đáng kể đến các </w:t>
      </w:r>
      <w:r>
        <w:t>việc thiết kế mô hình RBC</w:t>
      </w:r>
      <w:r w:rsidR="00822D08">
        <w:t xml:space="preserve">, đặc biệt là trong quá trình chuyển đổi. Kỷ luật thị trường tốt có thể góp phần </w:t>
      </w:r>
      <w:r>
        <w:t>tăng</w:t>
      </w:r>
      <w:r w:rsidR="00822D08">
        <w:t xml:space="preserve"> hiệu quả của </w:t>
      </w:r>
      <w:r>
        <w:t>quản lý,</w:t>
      </w:r>
      <w:r w:rsidR="00822D08">
        <w:t xml:space="preserve"> giám sát. Trong trường hợp</w:t>
      </w:r>
      <w:r>
        <w:t xml:space="preserve"> thị trường</w:t>
      </w:r>
      <w:r w:rsidR="00822D08">
        <w:t xml:space="preserve"> thiếu</w:t>
      </w:r>
      <w:r>
        <w:t xml:space="preserve"> kỷ luật thì các công ty bảo hiểm có thể </w:t>
      </w:r>
      <w:r w:rsidR="00822D08">
        <w:t xml:space="preserve">tham gia vào các hoạt động kinh doanh </w:t>
      </w:r>
      <w:r>
        <w:t>nhiều</w:t>
      </w:r>
      <w:r w:rsidR="00822D08">
        <w:t xml:space="preserve"> rủi ro. Kỷ l</w:t>
      </w:r>
      <w:r>
        <w:t>uật thị trường gắn liền với con người và hành vi, cơ quan quản lý có thể thông quan các quy định về công khai thông tin và quản trị rủi ro để nâng cao kỷ luật của thị trường</w:t>
      </w:r>
      <w:r w:rsidR="00822D08">
        <w:t>.</w:t>
      </w:r>
    </w:p>
    <w:p w:rsidR="00822D08" w:rsidRPr="004D7B2D" w:rsidRDefault="000258E9" w:rsidP="003931C4">
      <w:pPr>
        <w:shd w:val="clear" w:color="auto" w:fill="FFFFFF"/>
        <w:spacing w:before="120" w:after="120" w:line="240" w:lineRule="auto"/>
        <w:ind w:firstLine="720"/>
        <w:jc w:val="both"/>
        <w:rPr>
          <w:b/>
        </w:rPr>
      </w:pPr>
      <w:r>
        <w:t>(iii)</w:t>
      </w:r>
      <w:r w:rsidR="00822D08">
        <w:t xml:space="preserve"> </w:t>
      </w:r>
      <w:r>
        <w:t>Mức độ p</w:t>
      </w:r>
      <w:r w:rsidR="00822D08">
        <w:t xml:space="preserve">hát triển thị trường tài chính có thể ảnh hưởng đến việc lựa chọn </w:t>
      </w:r>
      <w:r>
        <w:t>loại mô hình RBC</w:t>
      </w:r>
      <w:r w:rsidR="00822D08">
        <w:t xml:space="preserve">. Phát triển thị trường tài chính </w:t>
      </w:r>
      <w:r>
        <w:t>sẽ</w:t>
      </w:r>
      <w:r w:rsidR="00822D08">
        <w:t xml:space="preserve"> thúc đẩy tăng trưởng kinh</w:t>
      </w:r>
      <w:r>
        <w:t xml:space="preserve"> tế nhưng sẽ có rủi ro về biến động giá tài sản, dòng vốn và </w:t>
      </w:r>
      <w:r w:rsidR="004D7B2D">
        <w:t xml:space="preserve">các điều kiện kinh tế </w:t>
      </w:r>
      <w:proofErr w:type="gramStart"/>
      <w:r w:rsidR="004D7B2D">
        <w:t>vĩ</w:t>
      </w:r>
      <w:proofErr w:type="gramEnd"/>
      <w:r w:rsidR="004D7B2D">
        <w:t xml:space="preserve"> mô khác. </w:t>
      </w:r>
      <w:proofErr w:type="gramStart"/>
      <w:r w:rsidR="004D7B2D">
        <w:t>Sự phát triển của thị trường tài chính còn ảnh hưởng đến chính sách tiền tệ và sự ổn định tài chính tại các thị trường mới nổi.</w:t>
      </w:r>
      <w:proofErr w:type="gramEnd"/>
      <w:r w:rsidR="004D7B2D">
        <w:t xml:space="preserve"> Do đó, cơ quan quản lý cần phải nhận diện được các rủi ro và có giải pháp để giảm thiểu các rủi ro </w:t>
      </w:r>
      <w:proofErr w:type="gramStart"/>
      <w:r w:rsidR="004D7B2D">
        <w:t>vĩ</w:t>
      </w:r>
      <w:proofErr w:type="gramEnd"/>
      <w:r w:rsidR="004D7B2D">
        <w:t xml:space="preserve"> mô đến quá trình chuyển đổi sang RBC.</w:t>
      </w:r>
    </w:p>
    <w:p w:rsidR="00822D08" w:rsidRPr="004D7B2D" w:rsidRDefault="004D7B2D" w:rsidP="003931C4">
      <w:pPr>
        <w:shd w:val="clear" w:color="auto" w:fill="FFFFFF"/>
        <w:spacing w:before="120" w:after="120" w:line="240" w:lineRule="auto"/>
        <w:ind w:firstLine="720"/>
        <w:jc w:val="both"/>
        <w:rPr>
          <w:b/>
        </w:rPr>
      </w:pPr>
      <w:r w:rsidRPr="004D7B2D">
        <w:rPr>
          <w:b/>
        </w:rPr>
        <w:t xml:space="preserve">c) </w:t>
      </w:r>
      <w:r w:rsidR="00822D08" w:rsidRPr="004D7B2D">
        <w:rPr>
          <w:b/>
        </w:rPr>
        <w:t>Nhân khẩu học và văn hóa</w:t>
      </w:r>
      <w:r w:rsidRPr="004D7B2D">
        <w:rPr>
          <w:b/>
        </w:rPr>
        <w:t xml:space="preserve"> sử dụng bảo hiểm</w:t>
      </w:r>
    </w:p>
    <w:p w:rsidR="00822D08" w:rsidRDefault="004D7B2D" w:rsidP="003931C4">
      <w:pPr>
        <w:shd w:val="clear" w:color="auto" w:fill="FFFFFF"/>
        <w:spacing w:before="120" w:after="120" w:line="240" w:lineRule="auto"/>
        <w:ind w:firstLine="720"/>
        <w:jc w:val="both"/>
      </w:pPr>
      <w:r>
        <w:t>Cơ quan quản lý bảo hiểm</w:t>
      </w:r>
      <w:r w:rsidR="00822D08">
        <w:t xml:space="preserve"> cần xem xét cách các xu hướng nhân khẩu học có thể ảnh hưởng đến ngành bảo hiểm</w:t>
      </w:r>
      <w:r>
        <w:t xml:space="preserve"> như đại dịch Covid-19</w:t>
      </w:r>
      <w:r w:rsidR="00822D08">
        <w:t xml:space="preserve"> đã ảnh hưởng đến sức khỏe, xã hội và kinh tế một cách sâu rộng, cùng với các yếu tố khác như dân số già đi, đặc biệt ở châu Âu và châu Á, và quá trình đô thị hóa dẫn đến sự phát triển của các thành phố lớn. </w:t>
      </w:r>
      <w:proofErr w:type="gramStart"/>
      <w:r w:rsidR="00822D08">
        <w:t xml:space="preserve">Nhiều quốc gia đang phát triển có thể có nhu cầu </w:t>
      </w:r>
      <w:r w:rsidR="00FC12A4">
        <w:t xml:space="preserve">về </w:t>
      </w:r>
      <w:r w:rsidR="00822D08">
        <w:t xml:space="preserve">bảo hiểm </w:t>
      </w:r>
      <w:r w:rsidR="00FC12A4">
        <w:t>nhân thọ</w:t>
      </w:r>
      <w:r w:rsidR="00822D08">
        <w:t xml:space="preserve"> và sức khỏe khác nhau, phụ thuộc vào độ tuổi và tình trạng sức khỏe của dân số.</w:t>
      </w:r>
      <w:proofErr w:type="gramEnd"/>
    </w:p>
    <w:p w:rsidR="00822D08" w:rsidRDefault="00822D08" w:rsidP="003931C4">
      <w:pPr>
        <w:shd w:val="clear" w:color="auto" w:fill="FFFFFF"/>
        <w:spacing w:before="120" w:after="120" w:line="240" w:lineRule="auto"/>
        <w:ind w:firstLine="720"/>
        <w:jc w:val="both"/>
      </w:pPr>
      <w:r>
        <w:t>Văn hóa</w:t>
      </w:r>
      <w:r w:rsidR="00FC12A4">
        <w:t xml:space="preserve"> sẽ</w:t>
      </w:r>
      <w:r>
        <w:t xml:space="preserve"> định hình sự phát triển và mức độ </w:t>
      </w:r>
      <w:r w:rsidR="00FC12A4">
        <w:t>phát triển</w:t>
      </w:r>
      <w:r>
        <w:t xml:space="preserve"> của ngành bảo hiểm thông qua việc ảnh hưởng đến nhu cầu về các sản phẩm bảo hiểm, </w:t>
      </w:r>
      <w:r w:rsidR="00FC12A4">
        <w:t xml:space="preserve">kỳ vọng của khách hàng và môi trường pháp lý nói </w:t>
      </w:r>
      <w:proofErr w:type="gramStart"/>
      <w:r w:rsidR="00FC12A4">
        <w:t>chung</w:t>
      </w:r>
      <w:proofErr w:type="gramEnd"/>
      <w:r w:rsidR="00FC12A4">
        <w:t xml:space="preserve">. </w:t>
      </w:r>
      <w:proofErr w:type="gramStart"/>
      <w:r w:rsidR="00FC12A4">
        <w:t xml:space="preserve">Trong một </w:t>
      </w:r>
      <w:r>
        <w:t>xã hội có trình độ hiểu biết tài chính cao và quản lý tốt</w:t>
      </w:r>
      <w:r w:rsidR="00FC12A4">
        <w:t xml:space="preserve"> các rủi ro</w:t>
      </w:r>
      <w:r>
        <w:t>,</w:t>
      </w:r>
      <w:r w:rsidR="00FC12A4">
        <w:t xml:space="preserve"> người dân sẽ ưa chuộng các</w:t>
      </w:r>
      <w:r>
        <w:t xml:space="preserve"> các sản phẩm bảo hiểm phức tạp.</w:t>
      </w:r>
      <w:proofErr w:type="gramEnd"/>
      <w:r w:rsidR="00FC12A4">
        <w:t xml:space="preserve"> Nhưng một xã hội có ít hiểu biết về tài chính thì khách hàng lại ưa chuộng các sản phẩm bảo hiểm đơn giản và dễ hiểu. Việc xem </w:t>
      </w:r>
      <w:r w:rsidR="004E7BC5">
        <w:t>xét các nền văn hóa này</w:t>
      </w:r>
      <w:r w:rsidR="00FC12A4">
        <w:t xml:space="preserve"> đóng vai trò quan trọng trong việc chuyển đổi sang</w:t>
      </w:r>
      <w:r w:rsidR="004E7BC5">
        <w:t xml:space="preserve"> mô hình vốn trên cơ sở rủi ro. Đối với thị trường bảo hiểm có hiểu biết về tài chính cao hơn và có khả năng quản trị rủi ro thì có thể triển khai mô hình RBC phức tạp và nhạy cảm với rủi ro hơn. Ngược lại, với một xã hội mà hiểu biết về tài chính đang phát triển thì cần lựa chọn mô hình RBC đơn giản và tập trung vào các yếu tố rủi ro chính, để đảm bảo rằng các bên liên quan có thể dễ dàng tiếp cận và hiểu về cách thức thực hiện. Phương pháp tiếp cận mô hình RBC nên đơn giản và minh bạch.</w:t>
      </w:r>
    </w:p>
    <w:p w:rsidR="00822D08" w:rsidRPr="003931C4" w:rsidRDefault="004E7BC5" w:rsidP="003931C4">
      <w:pPr>
        <w:shd w:val="clear" w:color="auto" w:fill="FFFFFF"/>
        <w:spacing w:before="120" w:after="120" w:line="240" w:lineRule="auto"/>
        <w:ind w:firstLine="720"/>
        <w:jc w:val="both"/>
        <w:rPr>
          <w:b/>
          <w:i/>
        </w:rPr>
      </w:pPr>
      <w:r w:rsidRPr="003931C4">
        <w:rPr>
          <w:b/>
          <w:i/>
        </w:rPr>
        <w:t>d) Về mức độ phát triển của ngành bảo hiểm</w:t>
      </w:r>
    </w:p>
    <w:p w:rsidR="00A4147E" w:rsidRDefault="00B664DE" w:rsidP="003931C4">
      <w:pPr>
        <w:shd w:val="clear" w:color="auto" w:fill="FFFFFF"/>
        <w:spacing w:before="120" w:after="120" w:line="240" w:lineRule="auto"/>
        <w:ind w:firstLine="720"/>
        <w:jc w:val="both"/>
      </w:pPr>
      <w:r>
        <w:t>Bản chất, mức độ và mức độ phức tạp của ngành bảo hiểm có ảnh huonwgr nghiêm trọng đến việc lựa chọn mô hình và RBC và cách thức chuyển đổi sang mô hình RBC. Thị trường bảo hiểm với các sản phẩm bảo hiểm nhân thọ, phi nhân thọ, sức khỏe phức tạp, cạnh tranh mạnh mẽ sẽ yêu cầu mô hình RBC mà có thể phản ánh được các rủi ro một cách chính xác hơn và do đó sẽ phức tạp hơn</w:t>
      </w:r>
      <w:r w:rsidR="00A4147E">
        <w:t xml:space="preserve">. </w:t>
      </w:r>
      <w:proofErr w:type="gramStart"/>
      <w:r w:rsidR="00A4147E">
        <w:t>Các yếu tố khác ảnh hưởng đến mô hình RBC là mức độ sẵn có và độ tin cậy của dữ liệu lịch sử cũng như năng lực của ngành bảo hiểm.</w:t>
      </w:r>
      <w:proofErr w:type="gramEnd"/>
      <w:r w:rsidR="00A4147E">
        <w:t xml:space="preserve"> Thông thường, nguồn nhân lực, vật lực và tài lực của thị trường sẽ là rào cản đối với việc chuyển đổi sang mô hình RBC, đặc biệt là ở các nước đang phát triển.</w:t>
      </w:r>
    </w:p>
    <w:p w:rsidR="00A4147E" w:rsidRDefault="00A4147E" w:rsidP="003931C4">
      <w:pPr>
        <w:shd w:val="clear" w:color="auto" w:fill="FFFFFF"/>
        <w:spacing w:before="120" w:after="120" w:line="240" w:lineRule="auto"/>
        <w:ind w:firstLine="720"/>
        <w:jc w:val="both"/>
      </w:pPr>
      <w:r>
        <w:t xml:space="preserve">Cơ quan quản lý bảo hiểm cần tính toán đến mức độ trưởng thành của thị trường bảo hiểm trong giai đoạn đầu xây dựng mô hình RBC trên cơ sở thảo luận với các doanh nghiệp bảo hiểm về mức độ sẵn sàng và khả năng thực hiện cũng như những khoảng trống về kỹ năng, kiến thức, công nghệ và chi phí thực hiện mô hình RBC. </w:t>
      </w:r>
    </w:p>
    <w:p w:rsidR="00A4147E" w:rsidRDefault="00A4147E" w:rsidP="003931C4">
      <w:pPr>
        <w:shd w:val="clear" w:color="auto" w:fill="FFFFFF"/>
        <w:spacing w:before="120" w:after="120" w:line="240" w:lineRule="auto"/>
        <w:ind w:firstLine="720"/>
        <w:jc w:val="both"/>
      </w:pPr>
      <w:proofErr w:type="gramStart"/>
      <w:r>
        <w:t>Ngoài ra, cơ quan quản lý cũng cần phải bảo vệ quyền lợi chính đáng của người tham gia bảo hiểm trong trường hợp doanh nghiệp bảo hiểm phá sản.</w:t>
      </w:r>
      <w:proofErr w:type="gramEnd"/>
      <w:r>
        <w:t xml:space="preserve"> </w:t>
      </w:r>
      <w:proofErr w:type="gramStart"/>
      <w:r>
        <w:t>Khuôn khổ RBC cần được thiết lập để những công ty bảo hiểm quản lý yếu kém sẽ phải rút khỏi thị trường một cách trật tự, cho dù là tự nguyện hay không tự nguyện và những người tham gia bảo hiểm của các công ty này vẫn cần được bảo vệ.</w:t>
      </w:r>
      <w:proofErr w:type="gramEnd"/>
      <w:r>
        <w:t xml:space="preserve"> </w:t>
      </w:r>
      <w:proofErr w:type="gramStart"/>
      <w:r>
        <w:t>Cơ chế bảo vệ có thể bao gồm hệ thống bồi thường, quỹ bảo vệ người tham gia bảo hiểm hoặc việc hình thành các quỹ khác.</w:t>
      </w:r>
      <w:proofErr w:type="gramEnd"/>
      <w:r>
        <w:t xml:space="preserve"> </w:t>
      </w:r>
    </w:p>
    <w:p w:rsidR="009B41C0" w:rsidRPr="009B41C0" w:rsidRDefault="009B41C0" w:rsidP="003931C4">
      <w:pPr>
        <w:shd w:val="clear" w:color="auto" w:fill="FFFFFF"/>
        <w:spacing w:before="120" w:after="120" w:line="240" w:lineRule="auto"/>
        <w:ind w:firstLine="720"/>
        <w:jc w:val="both"/>
        <w:rPr>
          <w:b/>
          <w:i/>
        </w:rPr>
      </w:pPr>
      <w:r w:rsidRPr="009B41C0">
        <w:rPr>
          <w:b/>
          <w:i/>
        </w:rPr>
        <w:t>đ) Về cơ quan quản lý bảo hiểm</w:t>
      </w:r>
    </w:p>
    <w:p w:rsidR="00A4147E" w:rsidRDefault="009B41C0" w:rsidP="003931C4">
      <w:pPr>
        <w:shd w:val="clear" w:color="auto" w:fill="FFFFFF"/>
        <w:spacing w:before="120" w:after="120" w:line="240" w:lineRule="auto"/>
        <w:ind w:firstLine="720"/>
        <w:jc w:val="both"/>
      </w:pPr>
      <w:r>
        <w:t xml:space="preserve">Việc chuyển đổi sang mô hình vốn trên cơ sở rủi ro sẽ làm ay đổi cơ bản văn hóa và tổ chức hoạt động của cơ quan quản lý bảo hiểm. Do việc triển khai mô hình RBC có nghĩa là triển khai phương thức quản lý, giám sát mới trên cơ sở rủi ro. Những quy trình và thủ tục quản lý, giám sát cũ có thể không còn phù hợn nữ, khiến đội ngũ cán bộ cảm thấy bối rối và không rõ về vai trò của họ trong tương lại. </w:t>
      </w:r>
      <w:proofErr w:type="gramStart"/>
      <w:r>
        <w:t>Việc thay đổi phương thức quản lý cũng cần phải có thời gian.</w:t>
      </w:r>
      <w:proofErr w:type="gramEnd"/>
    </w:p>
    <w:p w:rsidR="009B41C0" w:rsidRDefault="009B41C0" w:rsidP="003931C4">
      <w:pPr>
        <w:shd w:val="clear" w:color="auto" w:fill="FFFFFF"/>
        <w:spacing w:before="120" w:after="120" w:line="240" w:lineRule="auto"/>
        <w:ind w:firstLine="720"/>
        <w:jc w:val="both"/>
      </w:pPr>
      <w:r>
        <w:t xml:space="preserve">Do đó, việc đào tạo kỹ năng và trình độ của cán bộ quản lý đóng vai trò quan trọng trong việc chuyển đổi sang mô hình mới. Bên cạnh đó, việc áp dụng mô hình RBC cũng yêu cầu tăng kinh phí hoạt động của cơ quan quản lý do việc duy trì khuôn khổ thanh toán hiện tại cùng với sự phát triển của mô hình RBC. Cơ quan quản lý vẫn cần duy trì việc áp dụng </w:t>
      </w:r>
      <w:r w:rsidR="003931C4">
        <w:t xml:space="preserve">các quy định tuân thủ hiện tại và dành nguồn lực cho việc triển khai một dự </w:t>
      </w:r>
      <w:proofErr w:type="gramStart"/>
      <w:r w:rsidR="003931C4">
        <w:t>án</w:t>
      </w:r>
      <w:proofErr w:type="gramEnd"/>
      <w:r w:rsidR="003931C4">
        <w:t xml:space="preserve"> mang tính dài hạn. </w:t>
      </w:r>
      <w:proofErr w:type="gramStart"/>
      <w:r w:rsidR="003931C4">
        <w:t>Cơ quan quản lý cần phải quyết định nguồn kinh phí phù hợp dành cho dự án RBC trong thời gian dự kiến triển khai.</w:t>
      </w:r>
      <w:proofErr w:type="gramEnd"/>
      <w:r w:rsidR="003931C4">
        <w:t xml:space="preserve"> </w:t>
      </w:r>
    </w:p>
    <w:p w:rsidR="00822D08" w:rsidRDefault="003931C4" w:rsidP="003931C4">
      <w:pPr>
        <w:shd w:val="clear" w:color="auto" w:fill="FFFFFF"/>
        <w:spacing w:before="120" w:after="120" w:line="240" w:lineRule="auto"/>
        <w:ind w:firstLine="720"/>
        <w:jc w:val="both"/>
      </w:pPr>
      <w:r>
        <w:t>Trường hợp cơ quan quản lý không đủ nguồn lực cần thiết để triển khai mô hình RBC trong khi vẫn duy trì các hoạt động quản lý, giám sát hiện hành thì việc triển khai mô hình mới nên được hoãn lại cho đến khi các nguồn lực được chuẩn bị đầy đủ và sẵn sàng. Mặc dù nguồn lực của cơ quan quản lý có thể sử dụng từ tiết kiệm kinh phí nhưng phương pháp tiếp cận này sẽ đem lại rủi ro về việc không đap ứng các mục tiêu quản lý, giám sát hiện hành. Cơ quan quản lý mà phụ thuộc và nguồn ngân sách nhà nước cần phải đảm bảo việc hỗ trợ của ngân sách nhà nước trong việc tăng chi phí.</w:t>
      </w:r>
    </w:p>
    <w:p w:rsidR="00A0156A" w:rsidRPr="00A0156A" w:rsidRDefault="00A0156A" w:rsidP="003931C4">
      <w:pPr>
        <w:shd w:val="clear" w:color="auto" w:fill="FFFFFF"/>
        <w:spacing w:before="120" w:after="120" w:line="240" w:lineRule="auto"/>
        <w:ind w:firstLine="720"/>
        <w:jc w:val="both"/>
        <w:rPr>
          <w:b/>
        </w:rPr>
      </w:pPr>
      <w:r w:rsidRPr="00A0156A">
        <w:rPr>
          <w:b/>
        </w:rPr>
        <w:t xml:space="preserve">3. Thực tiễn </w:t>
      </w:r>
      <w:r w:rsidR="00D51542">
        <w:rPr>
          <w:b/>
        </w:rPr>
        <w:t>chuyển đổi sang</w:t>
      </w:r>
      <w:r w:rsidRPr="00A0156A">
        <w:rPr>
          <w:b/>
        </w:rPr>
        <w:t xml:space="preserve"> mô hình RBC</w:t>
      </w:r>
    </w:p>
    <w:p w:rsidR="00D51542" w:rsidRDefault="00D51542" w:rsidP="003931C4">
      <w:pPr>
        <w:shd w:val="clear" w:color="auto" w:fill="FFFFFF"/>
        <w:spacing w:before="120" w:after="120" w:line="240" w:lineRule="auto"/>
        <w:ind w:firstLine="720"/>
        <w:jc w:val="both"/>
      </w:pPr>
      <w:proofErr w:type="gramStart"/>
      <w:r>
        <w:t>Sau khi xây dựng được mô hình RBC phù hợp, cơ quan quản lý bảo hiểm cần xem xét việc chuyển đổi mô hình một cách cẩn trọng để giảm thiểu tác động tiêu cực đến thị trường.</w:t>
      </w:r>
      <w:proofErr w:type="gramEnd"/>
      <w:r>
        <w:t xml:space="preserve"> </w:t>
      </w:r>
      <w:proofErr w:type="gramStart"/>
      <w:r>
        <w:t xml:space="preserve">Trong đó, </w:t>
      </w:r>
      <w:r w:rsidR="004628CC">
        <w:t>việc cho phép có thời gian</w:t>
      </w:r>
      <w:r>
        <w:t xml:space="preserve"> áp dụng song song hai mô hình cũ và mới là một trong những giải pháp phù hợp để đảm bảo việc chuyển đổi được thuận lợi hơn.</w:t>
      </w:r>
      <w:proofErr w:type="gramEnd"/>
      <w:r>
        <w:t xml:space="preserve"> </w:t>
      </w:r>
    </w:p>
    <w:p w:rsidR="004628CC" w:rsidRDefault="00D51542" w:rsidP="003931C4">
      <w:pPr>
        <w:shd w:val="clear" w:color="auto" w:fill="FFFFFF"/>
        <w:spacing w:before="120" w:after="120" w:line="240" w:lineRule="auto"/>
        <w:ind w:firstLine="720"/>
        <w:jc w:val="both"/>
      </w:pPr>
      <w:r>
        <w:t xml:space="preserve">Việc thiết kế và triển khai mô hình RBC với một loạt các yêu cầu phức tạp về tính toán mức vốn trên cơ sở rủi ro sẽ làm gia tăng khối lượng công việc đối với các doanh nghiệp bảo hiểm. </w:t>
      </w:r>
      <w:proofErr w:type="gramStart"/>
      <w:r>
        <w:t>Việc chuyển đổi sẽ dễ dàng hơn nếu được thực hiện trong một thời gian nhất định.</w:t>
      </w:r>
      <w:proofErr w:type="gramEnd"/>
      <w:r>
        <w:t xml:space="preserve"> </w:t>
      </w:r>
      <w:r w:rsidR="004628CC">
        <w:t xml:space="preserve">Điều này có thể thực hiện thông qua các quá trình thử nghiệm ban đầu và xây dựng các báo cáo toàn diện về việc áp dụng song song hai mô hình. </w:t>
      </w:r>
      <w:proofErr w:type="gramStart"/>
      <w:r w:rsidR="004628CC">
        <w:t>Các báo cáo này sẽ cung cấp cho cơ quan quản lý và thị trường về mức độ ảnh hưởng của các yêu cầu báo cáo mới và sau đó cải tiến mô hình RBC áp dụng chính thức.</w:t>
      </w:r>
      <w:proofErr w:type="gramEnd"/>
    </w:p>
    <w:p w:rsidR="004628CC" w:rsidRDefault="004628CC" w:rsidP="003931C4">
      <w:pPr>
        <w:shd w:val="clear" w:color="auto" w:fill="FFFFFF"/>
        <w:spacing w:before="120" w:after="120" w:line="240" w:lineRule="auto"/>
        <w:ind w:firstLine="720"/>
        <w:jc w:val="both"/>
      </w:pPr>
      <w:r>
        <w:t xml:space="preserve">Giai đoạn thử nghiệm cho phép doanh nghiệp bảo hiểm và cơ quan quản lý từ từ chuyển đổi sang mô hình RBC. </w:t>
      </w:r>
      <w:proofErr w:type="gramStart"/>
      <w:r>
        <w:t>Giai đoạn đầu của thời gian áp dụng song song hai mô hình có thể được thực hiện trên cơ sở áp dụng tự nguyện.</w:t>
      </w:r>
      <w:proofErr w:type="gramEnd"/>
      <w:r>
        <w:t xml:space="preserve"> </w:t>
      </w:r>
      <w:proofErr w:type="gramStart"/>
      <w:r>
        <w:t>Điều này sẽ giúp các công ty bảo hiểm có thể dần dần nhận thức được mức độ phức tạp của yêu cầu vốn mới và khoảng trống về nguồn lực, hệ thống và quy trình.</w:t>
      </w:r>
      <w:proofErr w:type="gramEnd"/>
      <w:r>
        <w:t xml:space="preserve"> </w:t>
      </w:r>
      <w:proofErr w:type="gramStart"/>
      <w:r>
        <w:t>Trong khi đó, cơ quan quản lý vẫn có thể có các thông tin hữu ích để cải tiến mô hình RBC chính thức.</w:t>
      </w:r>
      <w:proofErr w:type="gramEnd"/>
      <w:r>
        <w:t xml:space="preserve"> Việc áp dụng thử nghiệm có thể yêu cầu các báo cáo quý ít phức tạp </w:t>
      </w:r>
      <w:proofErr w:type="gramStart"/>
      <w:r>
        <w:t>hơn  so</w:t>
      </w:r>
      <w:proofErr w:type="gramEnd"/>
      <w:r>
        <w:t xml:space="preserve"> với báo cáo năm. Hoặc việc tính toán tỷ lệ </w:t>
      </w:r>
      <w:proofErr w:type="gramStart"/>
      <w:r>
        <w:t>an</w:t>
      </w:r>
      <w:proofErr w:type="gramEnd"/>
      <w:r>
        <w:t xml:space="preserve"> toàn vốn có thể dựa trên cách thức tính toán đơn giản hơn thay vì phải tính toán đầy đủ.</w:t>
      </w:r>
    </w:p>
    <w:p w:rsidR="004A6687" w:rsidRDefault="004A6687" w:rsidP="003931C4">
      <w:pPr>
        <w:shd w:val="clear" w:color="auto" w:fill="FFFFFF"/>
        <w:spacing w:before="120" w:after="120" w:line="240" w:lineRule="auto"/>
        <w:ind w:firstLine="720"/>
        <w:jc w:val="both"/>
      </w:pPr>
      <w:proofErr w:type="gramStart"/>
      <w:r>
        <w:t>Sau thời gian áp dụng tự nguyện, cơ quan quản lý có thể chạy song song toàn diện mô hình RBC.</w:t>
      </w:r>
      <w:proofErr w:type="gramEnd"/>
      <w:r>
        <w:t xml:space="preserve"> Giai đoạn áp dụng song song toàn diện này là bắt buộc và phải dựa trên yêu cầu báo cáo đầy đủ </w:t>
      </w:r>
      <w:proofErr w:type="gramStart"/>
      <w:r>
        <w:t>theo</w:t>
      </w:r>
      <w:proofErr w:type="gramEnd"/>
      <w:r>
        <w:t xml:space="preserve"> yêu cầu vốn mới của mô hình RBC. Do việc bắt buộc áp dụng song song hai mô hình sẽ tạo gánh nặng chi phí cho doanh nghiệp, việc xem xét thời gian áp dụng song song toàn diện là rất quan trọng. </w:t>
      </w:r>
      <w:proofErr w:type="gramStart"/>
      <w:r>
        <w:t>Cơ quan quản lý chỉ nên áp dụng chế độ báo cáo đầy đủ khi khuôn khổ RBC đã hoàn thiện.</w:t>
      </w:r>
      <w:proofErr w:type="gramEnd"/>
      <w:r>
        <w:t xml:space="preserve"> </w:t>
      </w:r>
      <w:proofErr w:type="gramStart"/>
      <w:r>
        <w:t>Không giống như giai đoạn thử nghiệm, giai đoạn chạy song song toàn diện sẽ không có yêu cầu về các giải pháp thay thế mà sẽ tập trung vào việc tính toán ra kết quả cuối cùng.</w:t>
      </w:r>
      <w:proofErr w:type="gramEnd"/>
      <w:r>
        <w:t xml:space="preserve"> </w:t>
      </w:r>
      <w:proofErr w:type="gramStart"/>
      <w:r>
        <w:t>Yêu cầu về việc phải có kiểm toán độc lập hoặc kiểm tra tại chỗ cũng có thể thực hiện trong giai đoạn song song toàn diện.</w:t>
      </w:r>
      <w:proofErr w:type="gramEnd"/>
      <w:r>
        <w:t xml:space="preserve"> </w:t>
      </w:r>
    </w:p>
    <w:p w:rsidR="00A0156A" w:rsidRDefault="004A6687" w:rsidP="003931C4">
      <w:pPr>
        <w:shd w:val="clear" w:color="auto" w:fill="FFFFFF"/>
        <w:spacing w:before="120" w:after="120" w:line="240" w:lineRule="auto"/>
        <w:ind w:firstLine="720"/>
        <w:jc w:val="both"/>
      </w:pPr>
      <w:r>
        <w:t xml:space="preserve">Trong giai đoạn song song toàn diện này, việc xem xét áp dụng các biện pháp can thiệp vẫn nên dựa trên báo cáo </w:t>
      </w:r>
      <w:proofErr w:type="gramStart"/>
      <w:r>
        <w:t>theo</w:t>
      </w:r>
      <w:proofErr w:type="gramEnd"/>
      <w:r>
        <w:t xml:space="preserve"> chế độ thanh</w:t>
      </w:r>
      <w:r w:rsidR="005F7001">
        <w:t xml:space="preserve"> toán hiện hành. </w:t>
      </w:r>
      <w:proofErr w:type="gramStart"/>
      <w:r w:rsidR="005F7001">
        <w:t>Nếu có thể, cơ quan quản lý có thể xem xét giảm bớt một vài yêu cầu báo cáo hiện hành để giảm gánh nặng cho doanh nghiệp.</w:t>
      </w:r>
      <w:proofErr w:type="gramEnd"/>
      <w:r w:rsidR="005F7001">
        <w:t xml:space="preserve"> </w:t>
      </w:r>
      <w:proofErr w:type="gramStart"/>
      <w:r w:rsidR="005F7001">
        <w:t>Tuy nhiên, các doanh nghiệp bảo hiểm vẫn phải báo cáo và tuân thủ chế độ thanh toán hiện hành trong khi kiểm tra việc áp dụng mô hình RBC mới.</w:t>
      </w:r>
      <w:proofErr w:type="gramEnd"/>
      <w:r w:rsidR="00A0156A">
        <w:rPr>
          <w:vanish/>
        </w:rPr>
        <w:t xml:space="preserve"> hình RBC bao gồm nhiều giai đoạn: nước cần phải đảm bảo việc hỗ trợ của ngân sách nhà nước trong việc tăng ch</w:t>
      </w:r>
    </w:p>
    <w:p w:rsidR="009D0CD4" w:rsidRDefault="005F7001" w:rsidP="003931C4">
      <w:pPr>
        <w:shd w:val="clear" w:color="auto" w:fill="FFFFFF"/>
        <w:spacing w:before="120" w:after="120" w:line="240" w:lineRule="auto"/>
        <w:ind w:firstLine="720"/>
        <w:jc w:val="both"/>
        <w:rPr>
          <w:b/>
        </w:rPr>
      </w:pPr>
      <w:r>
        <w:rPr>
          <w:b/>
        </w:rPr>
        <w:t>III</w:t>
      </w:r>
      <w:r w:rsidR="009D0CD4" w:rsidRPr="003931C4">
        <w:rPr>
          <w:b/>
        </w:rPr>
        <w:t>. THỰC TIỄN TRIỂN KHAI CHẾ ĐỘ VỐN TRÊN CƠ SỞ RỦI RO TẠI MỘT SỐ NƯỚC</w:t>
      </w:r>
    </w:p>
    <w:p w:rsidR="00C37B59" w:rsidRDefault="00C37B59" w:rsidP="003931C4">
      <w:pPr>
        <w:shd w:val="clear" w:color="auto" w:fill="FFFFFF"/>
        <w:spacing w:before="120" w:after="120" w:line="240" w:lineRule="auto"/>
        <w:ind w:firstLine="720"/>
        <w:jc w:val="both"/>
        <w:rPr>
          <w:b/>
        </w:rPr>
      </w:pPr>
      <w:r>
        <w:rPr>
          <w:b/>
        </w:rPr>
        <w:t>1. Hồng Kông</w:t>
      </w:r>
    </w:p>
    <w:p w:rsidR="00960CDD" w:rsidRPr="00960CDD" w:rsidRDefault="00AD38A0" w:rsidP="00932E1B">
      <w:pPr>
        <w:shd w:val="clear" w:color="auto" w:fill="FFFFFF"/>
        <w:spacing w:before="120" w:after="120" w:line="240" w:lineRule="auto"/>
        <w:ind w:firstLine="720"/>
        <w:jc w:val="both"/>
      </w:pPr>
      <w:proofErr w:type="gramStart"/>
      <w:r w:rsidRPr="00AD38A0">
        <w:t xml:space="preserve">Hồng Kông </w:t>
      </w:r>
      <w:r w:rsidR="00960CDD" w:rsidRPr="00960CDD">
        <w:t>là một trong những trung tâm tài chính lớn của châu Á với hệ thống bảo hiểm phát triển ở mức cao.</w:t>
      </w:r>
      <w:proofErr w:type="gramEnd"/>
      <w:r w:rsidR="00960CDD" w:rsidRPr="00960CDD">
        <w:t xml:space="preserve"> Tuy nhiên, </w:t>
      </w:r>
      <w:r w:rsidR="00CF37FB">
        <w:t xml:space="preserve">việc nghiên cứu xây dựng và triển khai mô hình RBC tại Hồng Kông </w:t>
      </w:r>
      <w:r w:rsidR="00831978">
        <w:t>cũng diễn ra trong 10 năm từ</w:t>
      </w:r>
      <w:r w:rsidR="00CF37FB">
        <w:t xml:space="preserve"> năm 2014 đến 2023</w:t>
      </w:r>
      <w:r w:rsidR="00831978">
        <w:t xml:space="preserve">, trong đó giai đoạn </w:t>
      </w:r>
      <w:r w:rsidR="00932E1B">
        <w:t>áp dụng sớm là từ năm 2021 đến 2023</w:t>
      </w:r>
      <w:r w:rsidR="00CF37FB">
        <w:t>.</w:t>
      </w:r>
    </w:p>
    <w:p w:rsidR="00C37B59" w:rsidRDefault="00960CDD" w:rsidP="00960CDD">
      <w:pPr>
        <w:shd w:val="clear" w:color="auto" w:fill="FFFFFF"/>
        <w:spacing w:before="120" w:after="120" w:line="240" w:lineRule="auto"/>
        <w:ind w:firstLine="720"/>
        <w:jc w:val="both"/>
      </w:pPr>
      <w:r w:rsidRPr="00960CDD">
        <w:t xml:space="preserve">Quá trình </w:t>
      </w:r>
      <w:r w:rsidR="00932E1B">
        <w:t>triển khai mô hình RBC tại Hồng Kông được thực hiện qua các giai đoạn:</w:t>
      </w:r>
      <w:r w:rsidR="00AD38A0">
        <w:t xml:space="preserve"> </w:t>
      </w:r>
      <w:r w:rsidR="00932E1B">
        <w:t>(i)</w:t>
      </w:r>
      <w:r w:rsidR="005E5976">
        <w:t xml:space="preserve"> Xây dựng mô hình vốn trên cơ sở ro từ năm 2014 đến 2016</w:t>
      </w:r>
      <w:r w:rsidR="00AD38A0">
        <w:t xml:space="preserve">; </w:t>
      </w:r>
      <w:r w:rsidR="005E5976">
        <w:t xml:space="preserve">(ii) Thực hiện </w:t>
      </w:r>
      <w:r w:rsidRPr="00960CDD">
        <w:t xml:space="preserve">khảo sát định lượng </w:t>
      </w:r>
      <w:r w:rsidR="005E5976">
        <w:t>(</w:t>
      </w:r>
      <w:r w:rsidRPr="00960CDD">
        <w:t>QIS</w:t>
      </w:r>
      <w:r w:rsidR="005E5976">
        <w:t>)</w:t>
      </w:r>
      <w:r w:rsidRPr="00960CDD">
        <w:t xml:space="preserve"> từ 2016–2020 để điều chỉnh hệ số, khun</w:t>
      </w:r>
      <w:r w:rsidR="00AD38A0">
        <w:t xml:space="preserve">g tính vốn và chuẩn hóa dữ liệu; </w:t>
      </w:r>
      <w:r w:rsidR="005E5976">
        <w:t>(iii)</w:t>
      </w:r>
      <w:r w:rsidRPr="00960CDD">
        <w:t xml:space="preserve"> </w:t>
      </w:r>
      <w:r w:rsidR="00652656">
        <w:t>Cho phép áp dụng sớm mô hình RBC và đồng thời b</w:t>
      </w:r>
      <w:r w:rsidRPr="00960CDD">
        <w:t xml:space="preserve">an hành các luật </w:t>
      </w:r>
      <w:r w:rsidR="005E5976">
        <w:t>khung (</w:t>
      </w:r>
      <w:r w:rsidRPr="00960CDD">
        <w:t>Cap.41R và Cap.41S</w:t>
      </w:r>
      <w:r w:rsidR="005E5976">
        <w:t>)</w:t>
      </w:r>
      <w:r w:rsidRPr="00960CDD">
        <w:t>, cùng các hướng dẫn kỹ thuật</w:t>
      </w:r>
      <w:r w:rsidR="00AD38A0">
        <w:t xml:space="preserve">  (</w:t>
      </w:r>
      <w:r w:rsidRPr="00960CDD">
        <w:t>GL9, GL34, GL36</w:t>
      </w:r>
      <w:r w:rsidR="00652656">
        <w:t>)</w:t>
      </w:r>
      <w:r w:rsidRPr="00960CDD">
        <w:t xml:space="preserve"> từ 2021–2023</w:t>
      </w:r>
      <w:r w:rsidR="00AD38A0">
        <w:t>; (iv)</w:t>
      </w:r>
      <w:r w:rsidRPr="00960CDD">
        <w:t xml:space="preserve"> Áp dụng chính thức khung HKRBC từ ngày 1/7/2024 với kỳ báo cáo đầu tiên tại thời điểm 31/12/2024.</w:t>
      </w:r>
    </w:p>
    <w:p w:rsidR="00AD38A0" w:rsidRPr="00960CDD" w:rsidRDefault="00652656" w:rsidP="00960CDD">
      <w:pPr>
        <w:shd w:val="clear" w:color="auto" w:fill="FFFFFF"/>
        <w:spacing w:before="120" w:after="120" w:line="240" w:lineRule="auto"/>
        <w:ind w:firstLine="720"/>
        <w:jc w:val="both"/>
      </w:pPr>
      <w:r>
        <w:t xml:space="preserve">Việc cho phép áp dụng sớm mô hình RBC tại </w:t>
      </w:r>
      <w:r w:rsidRPr="00652656">
        <w:t>Hồng Kông</w:t>
      </w:r>
      <w:r>
        <w:t xml:space="preserve"> giúp các doanh nghiệp bảo hiểm có thời gian để điều chỉnh chiến lược kinh doanh và hồ sơ rủi ro của mình; khuyến khích các doanh nghiệp </w:t>
      </w:r>
      <w:r w:rsidR="00472CC7">
        <w:t xml:space="preserve">quản lý tốt thời hạn giữa tài sản và trách nhiệm; quản trị rủi ro tốt hơn các sản phẩm liên kết đầu tư và có kế hoạch quản lý vốn tốt hơn. Trong quá trình chuyển đổi sang mô hình RBC, cơ quan quản lý </w:t>
      </w:r>
      <w:r w:rsidR="00472CC7" w:rsidRPr="00472CC7">
        <w:t>Hồng Kông</w:t>
      </w:r>
      <w:r w:rsidR="00472CC7">
        <w:t xml:space="preserve"> (IA) cho phép doanh nghiệp được phép giảm vốn rủi ro đối với rủi ro thị trường trên cơ sở chấp thuận của IA, cho phép doanh nghiệp có quy mô lớn có thời dian đển chuẩn bị tăng vốn. Tuy nhiên, các doanh nghiệp bảo hiểm phải chuẩn bị kế hoạch tăng vốn rõ ràng và minh bạch cùng với các tài liệu chứng minh đầy đủ để nộp cho cơ quan quản lý. </w:t>
      </w:r>
      <w:proofErr w:type="gramStart"/>
      <w:r w:rsidR="00472CC7">
        <w:t>Trong giai đoạn này, cơ quan quản lý cũng không cho phép doanh nghiệp được chia cổ tức cho các cổ đông khi chưa được chấp thuận bởi cơ quan quản lý.</w:t>
      </w:r>
      <w:proofErr w:type="gramEnd"/>
    </w:p>
    <w:p w:rsidR="005F7001" w:rsidRDefault="00960CDD" w:rsidP="003931C4">
      <w:pPr>
        <w:shd w:val="clear" w:color="auto" w:fill="FFFFFF"/>
        <w:spacing w:before="120" w:after="120" w:line="240" w:lineRule="auto"/>
        <w:ind w:firstLine="720"/>
        <w:jc w:val="both"/>
        <w:rPr>
          <w:b/>
        </w:rPr>
      </w:pPr>
      <w:r>
        <w:rPr>
          <w:b/>
        </w:rPr>
        <w:t>2</w:t>
      </w:r>
      <w:r w:rsidR="005F7001">
        <w:rPr>
          <w:b/>
        </w:rPr>
        <w:t>. Bermuda</w:t>
      </w:r>
    </w:p>
    <w:p w:rsidR="005F7001" w:rsidRDefault="005F7001" w:rsidP="003931C4">
      <w:pPr>
        <w:shd w:val="clear" w:color="auto" w:fill="FFFFFF"/>
        <w:spacing w:before="120" w:after="120" w:line="240" w:lineRule="auto"/>
        <w:ind w:firstLine="720"/>
        <w:jc w:val="both"/>
      </w:pPr>
      <w:r>
        <w:t xml:space="preserve">Trước khi chuyển đổi sang mô hình RBC, </w:t>
      </w:r>
      <w:r w:rsidR="009339E5">
        <w:t xml:space="preserve">khả năng thanh toán của </w:t>
      </w:r>
      <w:r>
        <w:t xml:space="preserve">Bermuda </w:t>
      </w:r>
      <w:r w:rsidR="009339E5">
        <w:t>là số lớn hơn của yêu cầu vốn điều lệ tối thiểu và</w:t>
      </w:r>
      <w:r>
        <w:t xml:space="preserve"> phần trăm của phí bảo hiểm </w:t>
      </w:r>
      <w:proofErr w:type="gramStart"/>
      <w:r>
        <w:t>t</w:t>
      </w:r>
      <w:r w:rsidR="009339E5">
        <w:t>hu</w:t>
      </w:r>
      <w:proofErr w:type="gramEnd"/>
      <w:r w:rsidR="009339E5">
        <w:t xml:space="preserve"> được và</w:t>
      </w:r>
      <w:r>
        <w:t xml:space="preserve"> dự phòng nghiệp vụ</w:t>
      </w:r>
      <w:r w:rsidR="009339E5">
        <w:t xml:space="preserve"> tương ứng</w:t>
      </w:r>
      <w:r>
        <w:t xml:space="preserve">. Sau đó, với sự điều chỉnh của các tiêu chuẩn quốc tế về vốn, Bermuda đã chuyển đổi sang mô hình vốn trên cơ sở rủi ro trong 14 năm (từ năm 2002 đến 2016). Quy định về báo cáo khả năng thanh toán và quản trị rủi ro được áp dụng từ năm 2010 và giám sát tập đoàn từ năm 2011. </w:t>
      </w:r>
    </w:p>
    <w:p w:rsidR="005F7001" w:rsidRDefault="005F7001" w:rsidP="003931C4">
      <w:pPr>
        <w:shd w:val="clear" w:color="auto" w:fill="FFFFFF"/>
        <w:spacing w:before="120" w:after="120" w:line="240" w:lineRule="auto"/>
        <w:ind w:firstLine="720"/>
        <w:jc w:val="both"/>
      </w:pPr>
      <w:proofErr w:type="gramStart"/>
      <w:r>
        <w:t>Bermuda đã lựa chọn mô hình vốn RBC dựa trên hệ số rủi ro (factor-based) và kịch bản căng thẳng (stress-based), đồng thời cũng cho phép việc áp dụng mô hình nội bộ (internal model).</w:t>
      </w:r>
      <w:proofErr w:type="gramEnd"/>
      <w:r>
        <w:t xml:space="preserve"> Khi chuyển đổi</w:t>
      </w:r>
      <w:r w:rsidR="009339E5">
        <w:t xml:space="preserve"> sang mô hình vốn trên cơ sở rủi</w:t>
      </w:r>
      <w:r>
        <w:t xml:space="preserve"> ro, Bermuda đã cân nhắc đến các yếu tố phát triển của thị trường bảo hiểm, tầm quan trọng của thị trường tái bảo hiểm và động lực của các bên có liên quan chính. </w:t>
      </w:r>
    </w:p>
    <w:p w:rsidR="009339E5" w:rsidRDefault="009339E5" w:rsidP="003931C4">
      <w:pPr>
        <w:shd w:val="clear" w:color="auto" w:fill="FFFFFF"/>
        <w:spacing w:before="120" w:after="120" w:line="240" w:lineRule="auto"/>
        <w:ind w:firstLine="720"/>
        <w:jc w:val="both"/>
      </w:pPr>
      <w:r>
        <w:t>Một số thách thức trong quá trình chuyển đổi sang mô hình RBC là việc áp dụng từng phần, mức độ đầy đủ và độ tin cậy của dữ liệu cũng như khả năng đáp ứng các mục tiêu đã đặt ra theo kế hoạch và giải quyết các mâu thuẫn.</w:t>
      </w:r>
    </w:p>
    <w:p w:rsidR="00A0156A" w:rsidRDefault="00960CDD" w:rsidP="009339E5">
      <w:pPr>
        <w:ind w:firstLine="720"/>
        <w:jc w:val="both"/>
        <w:rPr>
          <w:b/>
        </w:rPr>
      </w:pPr>
      <w:r>
        <w:rPr>
          <w:b/>
        </w:rPr>
        <w:t>3</w:t>
      </w:r>
      <w:r w:rsidR="009339E5">
        <w:rPr>
          <w:b/>
        </w:rPr>
        <w:t xml:space="preserve">. </w:t>
      </w:r>
      <w:r w:rsidR="00A0156A" w:rsidRPr="00F65794">
        <w:rPr>
          <w:b/>
        </w:rPr>
        <w:t>Đài Loan</w:t>
      </w:r>
    </w:p>
    <w:p w:rsidR="009339E5" w:rsidRDefault="009339E5" w:rsidP="009339E5">
      <w:pPr>
        <w:ind w:firstLine="720"/>
        <w:jc w:val="both"/>
      </w:pPr>
      <w:proofErr w:type="gramStart"/>
      <w:r w:rsidRPr="009339E5">
        <w:t>Trước</w:t>
      </w:r>
      <w:r>
        <w:t xml:space="preserve"> khi áp dụng mô hình vốn trên cơ sở rủi ro, khả năng thanh toán của Đài Loan được tính dựa trên việc so sánh vốn chủ sở hữu (bằng tài sản được thừa nhận trừ đi nợ phải trả) và ba lần trái phiếu.</w:t>
      </w:r>
      <w:proofErr w:type="gramEnd"/>
      <w:r>
        <w:t xml:space="preserve"> Tuy nhiên, để tuân thủ chuẩn mực quốc tế, Đào Loan đã lựa cho mô hình RBC của Mỹ và ICS của Hiệp hội các nhà quản lý bảo hiểm quốc tế để triển khai.</w:t>
      </w:r>
    </w:p>
    <w:p w:rsidR="009339E5" w:rsidRDefault="009339E5" w:rsidP="009339E5">
      <w:pPr>
        <w:ind w:firstLine="720"/>
        <w:jc w:val="both"/>
      </w:pPr>
      <w:proofErr w:type="gramStart"/>
      <w:r>
        <w:t>Việc triển khai mô hình RBC của Đài Loan kéo dài từ năm 2003 đến nay</w:t>
      </w:r>
      <w:r w:rsidR="005E1588">
        <w:t>.</w:t>
      </w:r>
      <w:proofErr w:type="gramEnd"/>
      <w:r w:rsidR="005E1588">
        <w:t xml:space="preserve"> </w:t>
      </w:r>
      <w:proofErr w:type="gramStart"/>
      <w:r w:rsidR="005E1588">
        <w:t>Quy định về báo cáo khả năng thanh toán và quản trị rủi ro được áp dụng từ năm 2015.</w:t>
      </w:r>
      <w:proofErr w:type="gramEnd"/>
      <w:r w:rsidR="005E1588">
        <w:t xml:space="preserve"> Khi chuyển đổi sang mô hình mới, Đài Loan phải cân nhắc đến các yếu tố cải cách luật pháp, sự chính xác của các loại báo cáo, cơ chế hỗ trợ như chuyên gia tính toán được chỉ định và kiểm toán độc lập.</w:t>
      </w:r>
    </w:p>
    <w:p w:rsidR="00A0156A" w:rsidRPr="006F7BE3" w:rsidRDefault="005E1588" w:rsidP="006F7BE3">
      <w:pPr>
        <w:ind w:firstLine="720"/>
        <w:jc w:val="both"/>
      </w:pPr>
      <w:r>
        <w:t>Một số thách thức trong quá trình chuyển đổi sang mô hình RBC là việc tính toán rủi ro vốn và việc phản chiếu độ trễ do thị trường bị biến động; việc tăng thêm các chỉ tiêu quản lý để đánh giá mức độ đầy đủ vốn của doanh nghiệp bảo hiểm tốt hơ</w:t>
      </w:r>
      <w:r w:rsidR="006F7BE3">
        <w:t>n.</w:t>
      </w:r>
    </w:p>
    <w:p w:rsidR="00A0156A" w:rsidRPr="00201CCB" w:rsidRDefault="00B61DC4" w:rsidP="00201CCB">
      <w:pPr>
        <w:ind w:firstLine="720"/>
        <w:jc w:val="both"/>
        <w:rPr>
          <w:b/>
        </w:rPr>
      </w:pPr>
      <w:r>
        <w:rPr>
          <w:b/>
        </w:rPr>
        <w:t>4.</w:t>
      </w:r>
      <w:r w:rsidR="00A0156A" w:rsidRPr="00201CCB">
        <w:rPr>
          <w:b/>
        </w:rPr>
        <w:t xml:space="preserve"> Nhật Bản</w:t>
      </w:r>
    </w:p>
    <w:p w:rsidR="00201CCB" w:rsidRDefault="00201CCB" w:rsidP="00201CCB">
      <w:pPr>
        <w:ind w:firstLine="720"/>
        <w:jc w:val="both"/>
      </w:pPr>
      <w:r>
        <w:t xml:space="preserve">Trước khi áp dụng mô hình vốn trên cơ sở rủi ro, khả năng thanh toán của Nhật Bản được tính dựa trên hệ số rủi ro (Factor- based) và dựa trên tỷ lệ biên khả năng thanh toán SMR và J-GAAP; yêu cầu vốn được tính bằng cách nhân giá trị rủi ro với các hệ số xác định trước. Sau đó để nâng cao năng lực quản lý rủi ro của doanh nghiệp và </w:t>
      </w:r>
      <w:r w:rsidR="003623F9">
        <w:t>thay đổi cấu t</w:t>
      </w:r>
      <w:r w:rsidR="001D4855">
        <w:t xml:space="preserve">rúc doanh nghiệp sang dài hạn, </w:t>
      </w:r>
      <w:r w:rsidR="003623F9">
        <w:t>Nhật Bản đã lựa chọn mô hình EU solvency II và ICS của Hiệp hội các nhà quản lý bảo hiểm quốc tế để triển khai.</w:t>
      </w:r>
    </w:p>
    <w:p w:rsidR="003623F9" w:rsidRDefault="003623F9" w:rsidP="00201CCB">
      <w:pPr>
        <w:ind w:firstLine="720"/>
        <w:jc w:val="both"/>
      </w:pPr>
      <w:r>
        <w:t xml:space="preserve">Việc triển khai mô hình RBC của Nhật Bản kéo dài từ 2010 đến nay và quy định về báo cáo khả năng thanh toán và quản trị rủi ro đã được áp dụng từ năm 2015. Khi chuyển đổi sang mô hình mới, Nhật Bản phải cân nhắc đến các yếu tố về sự chuẩn bị của các doanh nghiệp bảo hiểm, sự hiểu biết của các bên liên quan bên ngoài, và tiêu chuẩn vốn hợp nhất cho các tập đoàn bảo hiểm quốc tế (IAIGs). </w:t>
      </w:r>
    </w:p>
    <w:p w:rsidR="003623F9" w:rsidRPr="00C93E29" w:rsidRDefault="003623F9" w:rsidP="006F7BE3">
      <w:pPr>
        <w:ind w:firstLine="720"/>
        <w:jc w:val="both"/>
      </w:pPr>
      <w:r>
        <w:t>Một số thách thức trong quá trình chuyển đổi sang mô hình RBC là việc n</w:t>
      </w:r>
      <w:r w:rsidRPr="00C93E29">
        <w:t>hu cầu chuyên môn tăng cao</w:t>
      </w:r>
      <w:r>
        <w:t>, t</w:t>
      </w:r>
      <w:r w:rsidRPr="00C93E29">
        <w:t>ăng</w:t>
      </w:r>
      <w:r>
        <w:t xml:space="preserve"> mức</w:t>
      </w:r>
      <w:r w:rsidRPr="00C93E29">
        <w:t xml:space="preserve"> độ phức tạp liên quan đến việc đo lường và quản lý rủi ro</w:t>
      </w:r>
      <w:r>
        <w:t>, t</w:t>
      </w:r>
      <w:r w:rsidRPr="00C93E29">
        <w:t>ác động đến doanh nghiệp bảo hiểm trong một số điều kiện kinh tế</w:t>
      </w:r>
      <w:r>
        <w:t>.</w:t>
      </w:r>
    </w:p>
    <w:p w:rsidR="00A0156A" w:rsidRDefault="00B61DC4" w:rsidP="003623F9">
      <w:pPr>
        <w:ind w:firstLine="720"/>
        <w:jc w:val="both"/>
        <w:rPr>
          <w:b/>
        </w:rPr>
      </w:pPr>
      <w:r>
        <w:rPr>
          <w:b/>
        </w:rPr>
        <w:t>5.</w:t>
      </w:r>
      <w:r w:rsidR="00A0156A" w:rsidRPr="003623F9">
        <w:rPr>
          <w:b/>
        </w:rPr>
        <w:t xml:space="preserve"> Hàn Quốc</w:t>
      </w:r>
    </w:p>
    <w:p w:rsidR="003623F9" w:rsidRDefault="003623F9" w:rsidP="001D4855">
      <w:pPr>
        <w:ind w:firstLine="720"/>
        <w:jc w:val="both"/>
      </w:pPr>
      <w:r>
        <w:t>Trước khi áp dụng mô hình vốn trên cơ sở rủi ro, khả năng thanh toán của Nhật Bản được tính dựa trên hệ số rủi ro (Factor- based)</w:t>
      </w:r>
      <w:r w:rsidR="001D4855">
        <w:t xml:space="preserve"> với chế độ RBC tương ứng với trụ cột 1 từ 2009 tới trước năm 2016</w:t>
      </w:r>
      <w:r>
        <w:t xml:space="preserve">. </w:t>
      </w:r>
      <w:proofErr w:type="gramStart"/>
      <w:r>
        <w:t>Sau đó</w:t>
      </w:r>
      <w:r w:rsidR="001D4855">
        <w:t xml:space="preserve"> vào năm 2016, vốn khả dụng được tính toán với sự xem xét giữa rủi ro bảo hiểm, rủi ro thị trường, rủi ro lãi suất, rủi ro tín dụng và rủi ro hoạt động.</w:t>
      </w:r>
      <w:proofErr w:type="gramEnd"/>
      <w:r w:rsidR="001D4855">
        <w:t xml:space="preserve"> Đ</w:t>
      </w:r>
      <w:r>
        <w:t xml:space="preserve">ể </w:t>
      </w:r>
      <w:r w:rsidR="001D4855">
        <w:t>cải thiện chỉ số lành mạnh tài chính và củng cố cách cách tiếp cận rủi ro của các doanh nghiệp bảo hiểm, Hàn Quốc đã lựa chọn mô hình RBC của Hoa Kỳ, Nhật Bản, và ICS của Hiệp hội các nhà quản lý bảo hiểm.</w:t>
      </w:r>
    </w:p>
    <w:p w:rsidR="00EB7F49" w:rsidRPr="00C93E29" w:rsidRDefault="001D4855" w:rsidP="00EB7F49">
      <w:pPr>
        <w:ind w:firstLine="720"/>
        <w:jc w:val="both"/>
      </w:pPr>
      <w:r>
        <w:t>Hàn Quốc triển khai mô hình RBC theo từng giai đoan từ 2009 tới 2016, và từ 2016 tới nay.</w:t>
      </w:r>
      <w:r w:rsidR="00EB7F49">
        <w:t xml:space="preserve"> </w:t>
      </w:r>
      <w:proofErr w:type="gramStart"/>
      <w:r w:rsidR="00EB7F49">
        <w:t>Quy định về báo cáo khả năng thanh toán và quản trị rủi ro đã được áp dụng từ năm 2017.</w:t>
      </w:r>
      <w:proofErr w:type="gramEnd"/>
      <w:r w:rsidR="00EB7F49">
        <w:t xml:space="preserve"> Qua từng giai đoạn, Hàn Quốc lại có các yếu tố cần cân nhắc như cải thiện chỉ số lành mạnh tài chính, sự phù hợp với việc sửa đổi các chuẩn mực kế toán và kiềm chế lạm phát khi chuyển sang chế độ khả năng thanh toán mới. Sự phức tập và đa dạng của các loại tính toán của các rủi ro là những thách thức mà Hàn Quốc gặp phải trong quá trình chuyển đổi sang mô hình RBC.</w:t>
      </w:r>
    </w:p>
    <w:p w:rsidR="00A0156A" w:rsidRDefault="00B61DC4" w:rsidP="00EB7F49">
      <w:pPr>
        <w:ind w:firstLine="720"/>
        <w:jc w:val="both"/>
        <w:rPr>
          <w:b/>
        </w:rPr>
      </w:pPr>
      <w:r>
        <w:rPr>
          <w:b/>
        </w:rPr>
        <w:t xml:space="preserve">6. </w:t>
      </w:r>
      <w:r w:rsidR="00A0156A" w:rsidRPr="00EB7F49">
        <w:rPr>
          <w:b/>
        </w:rPr>
        <w:t>Malaysia</w:t>
      </w:r>
    </w:p>
    <w:p w:rsidR="00C56C15" w:rsidRDefault="006F7BE3" w:rsidP="00EB7F49">
      <w:pPr>
        <w:ind w:firstLine="720"/>
        <w:jc w:val="both"/>
      </w:pPr>
      <w:r w:rsidRPr="009339E5">
        <w:t>Trước</w:t>
      </w:r>
      <w:r>
        <w:t xml:space="preserve"> khi áp dụng mô hình vốn trên cơ sở rủi ro, khả năng thanh toán của Malaysia được cố định </w:t>
      </w:r>
      <w:proofErr w:type="gramStart"/>
      <w:r>
        <w:t>theo</w:t>
      </w:r>
      <w:proofErr w:type="gramEnd"/>
      <w:r>
        <w:t xml:space="preserve"> tỷ lệ được ấn định. Các doanh nghiệp bảo hiểm được yêu cầu duy trì tài sản vượt quá trách nhiệm bảo hiểm </w:t>
      </w:r>
      <w:proofErr w:type="gramStart"/>
      <w:r>
        <w:t>theo</w:t>
      </w:r>
      <w:proofErr w:type="gramEnd"/>
      <w:r>
        <w:t xml:space="preserve"> tỷ lệ đó. </w:t>
      </w:r>
      <w:proofErr w:type="gramStart"/>
      <w:r>
        <w:t>Tuy nhiên, để tuân thủ chuẩn mực quốc tế và quản lý rủi ro hiệu qủa, Malaysia đã lựa cho mô hình RBC ICS của Hiệp hội các nhà quản lý bảo hiểm quốc tế để triển khai.</w:t>
      </w:r>
      <w:proofErr w:type="gramEnd"/>
    </w:p>
    <w:p w:rsidR="006F7BE3" w:rsidRDefault="006F7BE3" w:rsidP="006F7BE3">
      <w:pPr>
        <w:ind w:firstLine="720"/>
        <w:jc w:val="both"/>
      </w:pPr>
      <w:proofErr w:type="gramStart"/>
      <w:r>
        <w:t>Việc triển khai mô hình RBC của Malaysia kéo dài từ 2001 đến 2009.</w:t>
      </w:r>
      <w:proofErr w:type="gramEnd"/>
      <w:r>
        <w:t xml:space="preserve"> Khi chuyển đổi sang mô hình mới, Malaysia phải cân nhắc đến các yếu tố về sự minh bạch thông qua việc định lượng rõ ràng các bộ đệm an toàn, các tín hiệu cảnh báo sớm về sự suy giảm vốn khả dụng và tính linh hoạt cho các doanh nghiệp bảo hiểm để áp dụng ở các mức rủi ro khác nhau.</w:t>
      </w:r>
    </w:p>
    <w:p w:rsidR="006F7BE3" w:rsidRPr="00C56C15" w:rsidRDefault="006F7BE3" w:rsidP="006F7BE3">
      <w:pPr>
        <w:ind w:firstLine="720"/>
        <w:jc w:val="both"/>
      </w:pPr>
      <w:r>
        <w:t>Một số thách thức trong quá trình chuyển đổi sang mô hình RBC là quan ngại về sự gián đoạn trong quá trình chuyển đổi, sự đồng thuận giữa các bên liên quan, và sự thiếu hụt chuyên gia</w:t>
      </w:r>
      <w:r w:rsidR="00B1016B">
        <w:t xml:space="preserve"> để hỗ trợ quá trình.</w:t>
      </w:r>
    </w:p>
    <w:p w:rsidR="00A0156A" w:rsidRDefault="00B61DC4" w:rsidP="00B1016B">
      <w:pPr>
        <w:ind w:firstLine="720"/>
        <w:jc w:val="both"/>
        <w:rPr>
          <w:b/>
        </w:rPr>
      </w:pPr>
      <w:r>
        <w:rPr>
          <w:b/>
        </w:rPr>
        <w:t>7.</w:t>
      </w:r>
      <w:r w:rsidR="00A0156A">
        <w:rPr>
          <w:b/>
        </w:rPr>
        <w:t xml:space="preserve"> Singapore</w:t>
      </w:r>
    </w:p>
    <w:p w:rsidR="00B1016B" w:rsidRDefault="00B1016B" w:rsidP="00B1016B">
      <w:pPr>
        <w:ind w:firstLine="720"/>
        <w:jc w:val="both"/>
      </w:pPr>
      <w:r w:rsidRPr="009339E5">
        <w:t>Trước</w:t>
      </w:r>
      <w:r>
        <w:t xml:space="preserve"> khi áp dụng mô hình vốn trên cơ sở rủi ro, khả năng thanh toán của Singapore chủ yếu dựa trên hệ số rủi ro. Tuy nhiên, để tuân thủ chuẩn mực quốc tế, nâng cao bảo về người giam gia bảo hiểm và khuyến khích đầu tư, Singapore đã lựa cho mô hình RBC ICS và ICP của Hiệp hội các nhà quản lý bảo hiểm quốc tế để triển khai.</w:t>
      </w:r>
    </w:p>
    <w:p w:rsidR="00B1016B" w:rsidRDefault="00B1016B" w:rsidP="00B1016B">
      <w:pPr>
        <w:ind w:firstLine="720"/>
        <w:jc w:val="both"/>
      </w:pPr>
      <w:proofErr w:type="gramStart"/>
      <w:r>
        <w:t>Việc triển khai mô hình RBC của Singapore kéo dài 9 năm từ 2012 đến 2020.</w:t>
      </w:r>
      <w:proofErr w:type="gramEnd"/>
      <w:r>
        <w:t xml:space="preserve"> Khi chuyển đổi sang mô hình mới, Singapore phải cân nhắc đến các yếu tố của khung RBC 2. Khung này </w:t>
      </w:r>
      <w:r w:rsidRPr="006A04A9">
        <w:t>thiết kế để củng cố quản lý rủi ro trong ngành bảo hiểm và bảo vệ người tham gia hiệu quả hơn</w:t>
      </w:r>
      <w:r>
        <w:t>, c</w:t>
      </w:r>
      <w:r w:rsidRPr="006A04A9">
        <w:t>ho phép lợi ích từ đa dạng hóa rủi ro</w:t>
      </w:r>
      <w:r>
        <w:t xml:space="preserve"> và x</w:t>
      </w:r>
      <w:r w:rsidRPr="006A04A9">
        <w:t>ác định rõ mức can thiệp về khả</w:t>
      </w:r>
      <w:r>
        <w:t xml:space="preserve"> năng thanh toán. Mục đích nhằm t</w:t>
      </w:r>
      <w:r w:rsidRPr="006A04A9">
        <w:t>ăng cường hợp tác với các chuyên gia, hiệp hội ngành, ban lãnh đạo và đội ngũ quản lý cao cấp của doanh nghiệp bảo hiểm</w:t>
      </w:r>
      <w:r>
        <w:t>, n</w:t>
      </w:r>
      <w:r w:rsidRPr="006A04A9">
        <w:t>ăng lực phân tích cho giám sát vi mô và vĩ mô</w:t>
      </w:r>
      <w:r>
        <w:t>, t</w:t>
      </w:r>
      <w:r w:rsidRPr="006A04A9">
        <w:t>ăng cường yêu cầu đối với vai trò của các chuyên gia được chỉ định và chuy</w:t>
      </w:r>
      <w:r>
        <w:t>ên gia tính toán được chứng nhận.</w:t>
      </w:r>
    </w:p>
    <w:p w:rsidR="00B1016B" w:rsidRPr="00B1016B" w:rsidRDefault="00B1016B" w:rsidP="00B1016B">
      <w:pPr>
        <w:jc w:val="both"/>
      </w:pPr>
      <w:r>
        <w:tab/>
      </w:r>
      <w:proofErr w:type="gramStart"/>
      <w:r>
        <w:t>Một số thách thức trong quả trình chuyển đổi RBC là sự tham gia và đồng thuận của các bên liên quan (yêu cầu sự tương tác liên tục với các bên liên quan), định giá và tính toán vốn, ngăn ngừa các hệ quả ngoài dự kiến.</w:t>
      </w:r>
      <w:proofErr w:type="gramEnd"/>
      <w:r>
        <w:t xml:space="preserve"> MAS đã tiến hành các cuộc thanh tra chuyên dề, nghiên cứu tác động và chạy thử song song, qua đó cho phép các DNBH làm quen với các yêu cầu mới của RBC 2 trước khi triển khai đầy đủ. </w:t>
      </w:r>
      <w:proofErr w:type="gramStart"/>
      <w:r>
        <w:t>Ngoài ra, khuôn khổ này được rà soát định kỳ để đảm bảo vẫn phù hợp, linh hoạt và tuân thủ các chuẩn mực quốc tế.</w:t>
      </w:r>
      <w:proofErr w:type="gramEnd"/>
    </w:p>
    <w:p w:rsidR="00A0156A" w:rsidRDefault="00B61DC4" w:rsidP="008D7649">
      <w:pPr>
        <w:ind w:firstLine="720"/>
        <w:jc w:val="both"/>
        <w:rPr>
          <w:b/>
        </w:rPr>
      </w:pPr>
      <w:r>
        <w:rPr>
          <w:b/>
        </w:rPr>
        <w:t>8.</w:t>
      </w:r>
      <w:r w:rsidR="00A0156A">
        <w:rPr>
          <w:b/>
        </w:rPr>
        <w:t xml:space="preserve"> Hoa Kỳ</w:t>
      </w:r>
    </w:p>
    <w:p w:rsidR="008D7649" w:rsidRDefault="008D7649" w:rsidP="00B61DC4">
      <w:pPr>
        <w:shd w:val="clear" w:color="auto" w:fill="FFFFFF"/>
        <w:spacing w:before="120" w:after="120" w:line="240" w:lineRule="auto"/>
        <w:ind w:firstLine="720"/>
        <w:jc w:val="both"/>
      </w:pPr>
      <w:r>
        <w:t>Trước khi chuyển đổi sang mô hình RBC, khả năng thanh toán của Hoa Kỳ là số lớn hơn của giảm thiểu hoặc loại bỏ rủi ro trong hoạt động kinh doanh bảo hiểm thông qua việc thiết lập hàng rào kiểm soát hoặc giới hạn đối với các hoạt động của doanh nghiệp bảo hiểm. Với bài học rút ra từ khủng hoảng tài chính toàn cầu 2007-08 và sự phát triển của quốc tế về giám sát bảo hiểm, ngân hàng và kế toán, Hoa Kỳ đã lựa chọn mô hình RBC GAAP, ICS và ICP của Hiệp hội các nhà giám sát bảo hiểm.</w:t>
      </w:r>
      <w:r w:rsidR="00B61DC4">
        <w:t xml:space="preserve"> Hoa Kỳ đã chuyển đổi sang mô hình vốn trên cơ sở rủi ro qua từng giai đoạn từ 2008 đến 2013 và từ 2013 đến nay. </w:t>
      </w:r>
      <w:proofErr w:type="gramStart"/>
      <w:r w:rsidR="00B61DC4">
        <w:t>Quy định về báo cáo khả năng thanh toán và quản trị rủi ro được áp dụng từ năm 2015.</w:t>
      </w:r>
      <w:proofErr w:type="gramEnd"/>
      <w:r w:rsidR="00B61DC4">
        <w:t xml:space="preserve"> </w:t>
      </w:r>
    </w:p>
    <w:p w:rsidR="00B61DC4" w:rsidRDefault="00B61DC4" w:rsidP="00B61DC4">
      <w:pPr>
        <w:shd w:val="clear" w:color="auto" w:fill="FFFFFF"/>
        <w:spacing w:before="120" w:after="120" w:line="240" w:lineRule="auto"/>
        <w:ind w:firstLine="720"/>
        <w:jc w:val="both"/>
      </w:pPr>
      <w:r>
        <w:t xml:space="preserve">Sau khi cân nhắc đến nhiều cách tiếp cận để triển khai đầy đủ các khía cạnh chế độ quản lý, Hoa kỳ quyết định rằng việc kết hợp cả giám sát tài chính và quản lý rủi ro thị trường là cách tốt nhất để đạt mục tiêu quản lý. </w:t>
      </w:r>
      <w:proofErr w:type="gramStart"/>
      <w:r>
        <w:t>Hoa Kỳ đã lựa chọn mô hình vốn RBC dựa trên hệ số rủi ro (factor-based) và kịch bản căng thẳng (stress-based.</w:t>
      </w:r>
      <w:proofErr w:type="gramEnd"/>
    </w:p>
    <w:p w:rsidR="00B61DC4" w:rsidRDefault="00B61DC4" w:rsidP="00B61DC4">
      <w:pPr>
        <w:ind w:firstLine="720"/>
        <w:jc w:val="both"/>
      </w:pPr>
      <w:r>
        <w:t>Một số thách thức mà Hoa Kỳ đã gặp phải khi triển khai mô hình RBC là:</w:t>
      </w:r>
    </w:p>
    <w:p w:rsidR="00B61DC4" w:rsidRDefault="00B61DC4" w:rsidP="00B61DC4">
      <w:pPr>
        <w:ind w:firstLine="720"/>
        <w:jc w:val="both"/>
      </w:pPr>
      <w:r>
        <w:t>- Một nỗ lực nhằm xây dựng một khuôn khổ pháp lý “một kích cỡ phù hợp cho tất cả” cho mọi chức năng quản lý (vượt ra ngoài khả năng thanh toán) là điều không hợp lý, do sự khác biệt rất lớn giữa các vùng và các bang.</w:t>
      </w:r>
    </w:p>
    <w:p w:rsidR="00B61DC4" w:rsidRPr="008D7649" w:rsidRDefault="00B61DC4" w:rsidP="00B61DC4">
      <w:pPr>
        <w:shd w:val="clear" w:color="auto" w:fill="FFFFFF"/>
        <w:spacing w:before="120" w:after="120" w:line="240" w:lineRule="auto"/>
        <w:ind w:firstLine="720"/>
        <w:jc w:val="both"/>
      </w:pPr>
      <w:r>
        <w:t xml:space="preserve">- Một khuôn khổ thị trường cạnh tranh bổ trợ cho quy định về khả năng thanh toán, vốn là một hệ thống pháp lý cấp quốc gia dựa trên quản lý </w:t>
      </w:r>
      <w:proofErr w:type="gramStart"/>
      <w:r>
        <w:t>theo</w:t>
      </w:r>
      <w:proofErr w:type="gramEnd"/>
      <w:r>
        <w:t xml:space="preserve"> từng bang.</w:t>
      </w:r>
    </w:p>
    <w:p w:rsidR="00A0156A" w:rsidRPr="003931C4" w:rsidRDefault="00A0156A" w:rsidP="009339E5">
      <w:pPr>
        <w:jc w:val="both"/>
        <w:rPr>
          <w:b/>
        </w:rPr>
      </w:pPr>
    </w:p>
    <w:p w:rsidR="009339E5" w:rsidRDefault="009339E5">
      <w:pPr>
        <w:rPr>
          <w:b/>
        </w:rPr>
      </w:pPr>
      <w:r>
        <w:rPr>
          <w:b/>
        </w:rPr>
        <w:br w:type="page"/>
      </w:r>
    </w:p>
    <w:p w:rsidR="00822D08" w:rsidRPr="003931C4" w:rsidRDefault="009339E5" w:rsidP="003931C4">
      <w:pPr>
        <w:shd w:val="clear" w:color="auto" w:fill="FFFFFF"/>
        <w:spacing w:before="120" w:after="120" w:line="240" w:lineRule="auto"/>
        <w:ind w:firstLine="720"/>
        <w:jc w:val="both"/>
        <w:rPr>
          <w:b/>
        </w:rPr>
      </w:pPr>
      <w:r>
        <w:rPr>
          <w:b/>
        </w:rPr>
        <w:t>IV</w:t>
      </w:r>
      <w:r w:rsidR="00822D08" w:rsidRPr="003931C4">
        <w:rPr>
          <w:b/>
        </w:rPr>
        <w:t>. KẾT LUẬN</w:t>
      </w:r>
    </w:p>
    <w:p w:rsidR="009727B1" w:rsidRDefault="003644CA" w:rsidP="009727B1">
      <w:pPr>
        <w:shd w:val="clear" w:color="auto" w:fill="FFFFFF"/>
        <w:spacing w:before="120" w:after="120" w:line="240" w:lineRule="auto"/>
        <w:ind w:firstLine="720"/>
        <w:jc w:val="both"/>
      </w:pPr>
      <w:r>
        <w:t>Để việc</w:t>
      </w:r>
      <w:r w:rsidR="00822D08">
        <w:t xml:space="preserve"> chuyển đổi sang mô hình vốn trên cơ sở rủi ro</w:t>
      </w:r>
      <w:r>
        <w:t xml:space="preserve"> được thuận lợi, các cơ quan quản lý bảo hiểm</w:t>
      </w:r>
      <w:r w:rsidR="00822D08">
        <w:t xml:space="preserve"> nên xem xét các yếu tố môi trường như khả năng sẵn sàng của thị trường bảo hiểm, điều kiện kinh tế, mức độ thâm nhập của bảo hiểm, sự phát triển và mức độ tinh vi của ngành bảo hiểm, độ phức tạp của bảng cân đối tài sản và rủi ro, cũng như việc tái phân bổ nguồn lực</w:t>
      </w:r>
      <w:r w:rsidR="002903C4">
        <w:t xml:space="preserve"> quản lý,</w:t>
      </w:r>
      <w:r w:rsidR="00822D08">
        <w:t xml:space="preserve"> giám sát. </w:t>
      </w:r>
      <w:proofErr w:type="gramStart"/>
      <w:r w:rsidR="00822D08">
        <w:t xml:space="preserve">Các </w:t>
      </w:r>
      <w:r w:rsidR="002903C4">
        <w:t>cơ quan quản lý bảo hiểm</w:t>
      </w:r>
      <w:r w:rsidR="00822D08">
        <w:t xml:space="preserve"> nên tham khảo các </w:t>
      </w:r>
      <w:r w:rsidR="002903C4">
        <w:t xml:space="preserve">mô hình RBC </w:t>
      </w:r>
      <w:r w:rsidR="00822D08">
        <w:t xml:space="preserve">đã được triển khai để điều chỉnh kế hoạch </w:t>
      </w:r>
      <w:r w:rsidR="002903C4">
        <w:t>trong</w:t>
      </w:r>
      <w:r w:rsidR="00822D08">
        <w:t xml:space="preserve"> trung</w:t>
      </w:r>
      <w:r w:rsidR="002903C4">
        <w:t xml:space="preserve"> và dài</w:t>
      </w:r>
      <w:r w:rsidR="00822D08">
        <w:t xml:space="preserve"> hạn, nhằm cải thiện các yêu cầu quản lý và xây dựng chiến lược </w:t>
      </w:r>
      <w:r w:rsidR="002903C4">
        <w:t>lâu dài</w:t>
      </w:r>
      <w:r w:rsidR="00822D08">
        <w:t>.</w:t>
      </w:r>
      <w:proofErr w:type="gramEnd"/>
      <w:r w:rsidR="009727B1" w:rsidRPr="009727B1">
        <w:t xml:space="preserve"> </w:t>
      </w:r>
    </w:p>
    <w:p w:rsidR="009E3100" w:rsidRDefault="009727B1" w:rsidP="009727B1">
      <w:pPr>
        <w:shd w:val="clear" w:color="auto" w:fill="FFFFFF"/>
        <w:spacing w:before="120" w:after="120" w:line="240" w:lineRule="auto"/>
        <w:ind w:firstLine="720"/>
        <w:jc w:val="both"/>
      </w:pPr>
      <w:r>
        <w:t xml:space="preserve">Một dự án RBC có thể được xây dựng </w:t>
      </w:r>
      <w:proofErr w:type="gramStart"/>
      <w:r>
        <w:t>theo</w:t>
      </w:r>
      <w:proofErr w:type="gramEnd"/>
      <w:r>
        <w:t xml:space="preserve"> nhiều cách khác nhau tùy thuộc vào hệ thống pháp lý của mỗi nước, nguồn lực có sẵn của cơ quan quản lý và quan điểm quản lý. </w:t>
      </w:r>
      <w:proofErr w:type="gramStart"/>
      <w:r>
        <w:t>Sự tham gia của các bên liên quan là yếu tố then chốt để triển khai thành công mô hình RBC.</w:t>
      </w:r>
      <w:proofErr w:type="gramEnd"/>
      <w:r>
        <w:t xml:space="preserve"> </w:t>
      </w:r>
      <w:proofErr w:type="gramStart"/>
      <w:r>
        <w:t>Cơ quan quản lý nên triển khai nhiều vòng tham vấn chính sách và đánh giá tác động định lượng để đánh giá mức độ khả thi và phù hợp của mô hình RBC.</w:t>
      </w:r>
      <w:proofErr w:type="gramEnd"/>
      <w:r w:rsidR="009E3100" w:rsidRPr="009E3100">
        <w:t xml:space="preserve"> </w:t>
      </w:r>
    </w:p>
    <w:p w:rsidR="009727B1" w:rsidRDefault="009E3100" w:rsidP="009727B1">
      <w:pPr>
        <w:shd w:val="clear" w:color="auto" w:fill="FFFFFF"/>
        <w:spacing w:before="120" w:after="120" w:line="240" w:lineRule="auto"/>
        <w:ind w:firstLine="720"/>
        <w:jc w:val="both"/>
      </w:pPr>
      <w:r>
        <w:t>Việc triển khai của mô hình RBC sẽ dẫn tới sự thay đổi văn hóa ở cả ngành bảo hiểm và cơ quan quản lý. Do đó, cơ quan quản lý nên cân nhắc tính phù hợp của phương thức quản lý, giám sát (con người và nguồn lực tài chính) và đầu tư vào đào tạo nhân viên.</w:t>
      </w:r>
    </w:p>
    <w:p w:rsidR="00822D08" w:rsidRDefault="00822D08" w:rsidP="003931C4">
      <w:pPr>
        <w:shd w:val="clear" w:color="auto" w:fill="FFFFFF"/>
        <w:spacing w:before="120" w:after="120" w:line="240" w:lineRule="auto"/>
        <w:ind w:firstLine="720"/>
        <w:jc w:val="both"/>
      </w:pPr>
      <w:r>
        <w:t xml:space="preserve">Việc triển khai </w:t>
      </w:r>
      <w:r w:rsidR="00E47469">
        <w:t>mô hình</w:t>
      </w:r>
      <w:r>
        <w:t xml:space="preserve"> RB</w:t>
      </w:r>
      <w:r w:rsidR="00E47469">
        <w:t xml:space="preserve">C sẽ là </w:t>
      </w:r>
      <w:r>
        <w:t xml:space="preserve">một dự </w:t>
      </w:r>
      <w:proofErr w:type="gramStart"/>
      <w:r>
        <w:t>án</w:t>
      </w:r>
      <w:proofErr w:type="gramEnd"/>
      <w:r>
        <w:t xml:space="preserve"> trung hạn đến dài hạn</w:t>
      </w:r>
      <w:r w:rsidR="009727B1">
        <w:t xml:space="preserve"> nên vi</w:t>
      </w:r>
      <w:r>
        <w:t xml:space="preserve">ệc lập kế hoạch cẩn thận là rất quan trọng. </w:t>
      </w:r>
      <w:proofErr w:type="gramStart"/>
      <w:r>
        <w:t xml:space="preserve">Sự tham gia </w:t>
      </w:r>
      <w:r w:rsidR="002876B3">
        <w:t xml:space="preserve">tích cực </w:t>
      </w:r>
      <w:r>
        <w:t>của các bên liên quan là cần thiết để đảm bảo tính minh bạch và sự đồ</w:t>
      </w:r>
      <w:r w:rsidR="00843BC0">
        <w:t>ng thuận.</w:t>
      </w:r>
      <w:proofErr w:type="gramEnd"/>
      <w:r w:rsidR="00843BC0">
        <w:t xml:space="preserve"> Để khởi động dự án RBC</w:t>
      </w:r>
      <w:r>
        <w:t>, cần có giai đoạn thử nghiệm ban đầu</w:t>
      </w:r>
      <w:r w:rsidR="00843BC0">
        <w:t xml:space="preserve"> cũng như thời gian áp dụng song song phù hợp</w:t>
      </w:r>
      <w:r>
        <w:t xml:space="preserve">. </w:t>
      </w:r>
    </w:p>
    <w:p w:rsidR="000E4EE4" w:rsidRPr="005B43AA" w:rsidRDefault="000E4EE4" w:rsidP="003931C4">
      <w:pPr>
        <w:shd w:val="clear" w:color="auto" w:fill="FFFFFF"/>
        <w:spacing w:before="120" w:after="120" w:line="240" w:lineRule="auto"/>
        <w:jc w:val="both"/>
      </w:pPr>
    </w:p>
    <w:sectPr w:rsidR="000E4EE4" w:rsidRPr="005B43AA" w:rsidSect="003931C4">
      <w:headerReference w:type="default" r:id="rId8"/>
      <w:pgSz w:w="11909" w:h="16834"/>
      <w:pgMar w:top="1134" w:right="1134" w:bottom="1134" w:left="1701" w:header="680" w:footer="68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976" w:rsidRDefault="005E5976">
      <w:pPr>
        <w:spacing w:after="0" w:line="240" w:lineRule="auto"/>
      </w:pPr>
      <w:r>
        <w:separator/>
      </w:r>
    </w:p>
  </w:endnote>
  <w:endnote w:type="continuationSeparator" w:id="0">
    <w:p w:rsidR="005E5976" w:rsidRDefault="005E59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altName w:val="Times New Roman"/>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976" w:rsidRDefault="005E5976">
      <w:pPr>
        <w:spacing w:after="0" w:line="240" w:lineRule="auto"/>
      </w:pPr>
      <w:r>
        <w:separator/>
      </w:r>
    </w:p>
  </w:footnote>
  <w:footnote w:type="continuationSeparator" w:id="0">
    <w:p w:rsidR="005E5976" w:rsidRDefault="005E59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976" w:rsidRDefault="00E200AC">
    <w:pPr>
      <w:pBdr>
        <w:top w:val="nil"/>
        <w:left w:val="nil"/>
        <w:bottom w:val="nil"/>
        <w:right w:val="nil"/>
        <w:between w:val="nil"/>
      </w:pBdr>
      <w:tabs>
        <w:tab w:val="center" w:pos="4680"/>
        <w:tab w:val="right" w:pos="9360"/>
      </w:tabs>
      <w:spacing w:after="0" w:line="240" w:lineRule="auto"/>
      <w:jc w:val="center"/>
      <w:rPr>
        <w:color w:val="000000"/>
        <w:sz w:val="24"/>
        <w:szCs w:val="24"/>
      </w:rPr>
    </w:pPr>
    <w:r>
      <w:rPr>
        <w:color w:val="000000"/>
        <w:sz w:val="24"/>
        <w:szCs w:val="24"/>
      </w:rPr>
      <w:fldChar w:fldCharType="begin"/>
    </w:r>
    <w:r w:rsidR="005E5976">
      <w:rPr>
        <w:color w:val="000000"/>
        <w:sz w:val="24"/>
        <w:szCs w:val="24"/>
      </w:rPr>
      <w:instrText>PAGE</w:instrText>
    </w:r>
    <w:r>
      <w:rPr>
        <w:color w:val="000000"/>
        <w:sz w:val="24"/>
        <w:szCs w:val="24"/>
      </w:rPr>
      <w:fldChar w:fldCharType="separate"/>
    </w:r>
    <w:r w:rsidR="006557A5">
      <w:rPr>
        <w:noProof/>
        <w:color w:val="000000"/>
        <w:sz w:val="24"/>
        <w:szCs w:val="24"/>
      </w:rPr>
      <w:t>11</w:t>
    </w:r>
    <w:r>
      <w:rPr>
        <w:color w:val="000000"/>
        <w:sz w:val="24"/>
        <w:szCs w:val="24"/>
      </w:rPr>
      <w:fldChar w:fldCharType="end"/>
    </w:r>
  </w:p>
  <w:p w:rsidR="005E5976" w:rsidRDefault="005E5976">
    <w:pPr>
      <w:pBdr>
        <w:top w:val="nil"/>
        <w:left w:val="nil"/>
        <w:bottom w:val="nil"/>
        <w:right w:val="nil"/>
        <w:between w:val="nil"/>
      </w:pBdr>
      <w:tabs>
        <w:tab w:val="center" w:pos="4680"/>
        <w:tab w:val="right" w:pos="9360"/>
      </w:tabs>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07"/>
    <w:multiLevelType w:val="hybridMultilevel"/>
    <w:tmpl w:val="DA4C18DA"/>
    <w:lvl w:ilvl="0" w:tplc="DE18BEA6">
      <w:start w:val="1"/>
      <w:numFmt w:val="decimal"/>
      <w:lvlText w:val="%1."/>
      <w:lvlJc w:val="left"/>
      <w:pPr>
        <w:tabs>
          <w:tab w:val="num" w:pos="1080"/>
        </w:tabs>
        <w:ind w:left="1080" w:hanging="360"/>
      </w:pPr>
      <w:rPr>
        <w:rFonts w:hint="default"/>
      </w:rPr>
    </w:lvl>
    <w:lvl w:ilvl="1" w:tplc="82FEBBD2">
      <w:numFmt w:val="none"/>
      <w:lvlText w:val=""/>
      <w:lvlJc w:val="left"/>
      <w:pPr>
        <w:tabs>
          <w:tab w:val="num" w:pos="360"/>
        </w:tabs>
      </w:pPr>
    </w:lvl>
    <w:lvl w:ilvl="2" w:tplc="FBD477FC">
      <w:numFmt w:val="none"/>
      <w:lvlText w:val=""/>
      <w:lvlJc w:val="left"/>
      <w:pPr>
        <w:tabs>
          <w:tab w:val="num" w:pos="360"/>
        </w:tabs>
      </w:pPr>
    </w:lvl>
    <w:lvl w:ilvl="3" w:tplc="70781350">
      <w:numFmt w:val="none"/>
      <w:lvlText w:val=""/>
      <w:lvlJc w:val="left"/>
      <w:pPr>
        <w:tabs>
          <w:tab w:val="num" w:pos="360"/>
        </w:tabs>
      </w:pPr>
    </w:lvl>
    <w:lvl w:ilvl="4" w:tplc="6AC0D470">
      <w:numFmt w:val="none"/>
      <w:lvlText w:val=""/>
      <w:lvlJc w:val="left"/>
      <w:pPr>
        <w:tabs>
          <w:tab w:val="num" w:pos="360"/>
        </w:tabs>
      </w:pPr>
    </w:lvl>
    <w:lvl w:ilvl="5" w:tplc="6478D8E0">
      <w:numFmt w:val="none"/>
      <w:lvlText w:val=""/>
      <w:lvlJc w:val="left"/>
      <w:pPr>
        <w:tabs>
          <w:tab w:val="num" w:pos="360"/>
        </w:tabs>
      </w:pPr>
    </w:lvl>
    <w:lvl w:ilvl="6" w:tplc="BBECBD9C">
      <w:numFmt w:val="none"/>
      <w:lvlText w:val=""/>
      <w:lvlJc w:val="left"/>
      <w:pPr>
        <w:tabs>
          <w:tab w:val="num" w:pos="360"/>
        </w:tabs>
      </w:pPr>
    </w:lvl>
    <w:lvl w:ilvl="7" w:tplc="BF3CFD22">
      <w:numFmt w:val="none"/>
      <w:lvlText w:val=""/>
      <w:lvlJc w:val="left"/>
      <w:pPr>
        <w:tabs>
          <w:tab w:val="num" w:pos="360"/>
        </w:tabs>
      </w:pPr>
    </w:lvl>
    <w:lvl w:ilvl="8" w:tplc="B03A4BE0">
      <w:numFmt w:val="none"/>
      <w:lvlText w:val=""/>
      <w:lvlJc w:val="left"/>
      <w:pPr>
        <w:tabs>
          <w:tab w:val="num" w:pos="360"/>
        </w:tabs>
      </w:pPr>
    </w:lvl>
  </w:abstractNum>
  <w:abstractNum w:abstractNumId="1">
    <w:nsid w:val="04EA29D3"/>
    <w:multiLevelType w:val="hybridMultilevel"/>
    <w:tmpl w:val="98E6397C"/>
    <w:lvl w:ilvl="0" w:tplc="DE26109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0A8E0A23"/>
    <w:multiLevelType w:val="hybridMultilevel"/>
    <w:tmpl w:val="2868A02E"/>
    <w:lvl w:ilvl="0" w:tplc="36A0FAC6">
      <w:start w:val="1"/>
      <w:numFmt w:val="lowerLetter"/>
      <w:lvlText w:val="%1)"/>
      <w:lvlJc w:val="left"/>
      <w:pPr>
        <w:ind w:left="1155" w:hanging="360"/>
      </w:pPr>
      <w:rPr>
        <w:rFonts w:hint="default"/>
      </w:rPr>
    </w:lvl>
    <w:lvl w:ilvl="1" w:tplc="042A0019" w:tentative="1">
      <w:start w:val="1"/>
      <w:numFmt w:val="lowerLetter"/>
      <w:lvlText w:val="%2."/>
      <w:lvlJc w:val="left"/>
      <w:pPr>
        <w:ind w:left="1875" w:hanging="360"/>
      </w:pPr>
    </w:lvl>
    <w:lvl w:ilvl="2" w:tplc="042A001B" w:tentative="1">
      <w:start w:val="1"/>
      <w:numFmt w:val="lowerRoman"/>
      <w:lvlText w:val="%3."/>
      <w:lvlJc w:val="right"/>
      <w:pPr>
        <w:ind w:left="2595" w:hanging="180"/>
      </w:pPr>
    </w:lvl>
    <w:lvl w:ilvl="3" w:tplc="042A000F" w:tentative="1">
      <w:start w:val="1"/>
      <w:numFmt w:val="decimal"/>
      <w:lvlText w:val="%4."/>
      <w:lvlJc w:val="left"/>
      <w:pPr>
        <w:ind w:left="3315" w:hanging="360"/>
      </w:pPr>
    </w:lvl>
    <w:lvl w:ilvl="4" w:tplc="042A0019" w:tentative="1">
      <w:start w:val="1"/>
      <w:numFmt w:val="lowerLetter"/>
      <w:lvlText w:val="%5."/>
      <w:lvlJc w:val="left"/>
      <w:pPr>
        <w:ind w:left="4035" w:hanging="360"/>
      </w:pPr>
    </w:lvl>
    <w:lvl w:ilvl="5" w:tplc="042A001B" w:tentative="1">
      <w:start w:val="1"/>
      <w:numFmt w:val="lowerRoman"/>
      <w:lvlText w:val="%6."/>
      <w:lvlJc w:val="right"/>
      <w:pPr>
        <w:ind w:left="4755" w:hanging="180"/>
      </w:pPr>
    </w:lvl>
    <w:lvl w:ilvl="6" w:tplc="042A000F" w:tentative="1">
      <w:start w:val="1"/>
      <w:numFmt w:val="decimal"/>
      <w:lvlText w:val="%7."/>
      <w:lvlJc w:val="left"/>
      <w:pPr>
        <w:ind w:left="5475" w:hanging="360"/>
      </w:pPr>
    </w:lvl>
    <w:lvl w:ilvl="7" w:tplc="042A0019" w:tentative="1">
      <w:start w:val="1"/>
      <w:numFmt w:val="lowerLetter"/>
      <w:lvlText w:val="%8."/>
      <w:lvlJc w:val="left"/>
      <w:pPr>
        <w:ind w:left="6195" w:hanging="360"/>
      </w:pPr>
    </w:lvl>
    <w:lvl w:ilvl="8" w:tplc="042A001B" w:tentative="1">
      <w:start w:val="1"/>
      <w:numFmt w:val="lowerRoman"/>
      <w:lvlText w:val="%9."/>
      <w:lvlJc w:val="right"/>
      <w:pPr>
        <w:ind w:left="6915" w:hanging="180"/>
      </w:pPr>
    </w:lvl>
  </w:abstractNum>
  <w:abstractNum w:abstractNumId="3">
    <w:nsid w:val="0BF56303"/>
    <w:multiLevelType w:val="hybridMultilevel"/>
    <w:tmpl w:val="CF6ABBB8"/>
    <w:lvl w:ilvl="0" w:tplc="4358E6D4">
      <w:numFmt w:val="bullet"/>
      <w:lvlText w:val="-"/>
      <w:lvlJc w:val="left"/>
      <w:pPr>
        <w:ind w:left="3960" w:hanging="360"/>
      </w:pPr>
      <w:rPr>
        <w:rFonts w:ascii="Times New Roman" w:eastAsia="Times New Roman" w:hAnsi="Times New Roman" w:cs="Times New Roman" w:hint="default"/>
      </w:rPr>
    </w:lvl>
    <w:lvl w:ilvl="1" w:tplc="042A0003" w:tentative="1">
      <w:start w:val="1"/>
      <w:numFmt w:val="bullet"/>
      <w:lvlText w:val="o"/>
      <w:lvlJc w:val="left"/>
      <w:pPr>
        <w:ind w:left="4680" w:hanging="360"/>
      </w:pPr>
      <w:rPr>
        <w:rFonts w:ascii="Courier New" w:hAnsi="Courier New" w:cs="Courier New" w:hint="default"/>
      </w:rPr>
    </w:lvl>
    <w:lvl w:ilvl="2" w:tplc="042A0005" w:tentative="1">
      <w:start w:val="1"/>
      <w:numFmt w:val="bullet"/>
      <w:lvlText w:val=""/>
      <w:lvlJc w:val="left"/>
      <w:pPr>
        <w:ind w:left="5400" w:hanging="360"/>
      </w:pPr>
      <w:rPr>
        <w:rFonts w:ascii="Wingdings" w:hAnsi="Wingdings" w:hint="default"/>
      </w:rPr>
    </w:lvl>
    <w:lvl w:ilvl="3" w:tplc="042A0001" w:tentative="1">
      <w:start w:val="1"/>
      <w:numFmt w:val="bullet"/>
      <w:lvlText w:val=""/>
      <w:lvlJc w:val="left"/>
      <w:pPr>
        <w:ind w:left="6120" w:hanging="360"/>
      </w:pPr>
      <w:rPr>
        <w:rFonts w:ascii="Symbol" w:hAnsi="Symbol" w:hint="default"/>
      </w:rPr>
    </w:lvl>
    <w:lvl w:ilvl="4" w:tplc="042A0003" w:tentative="1">
      <w:start w:val="1"/>
      <w:numFmt w:val="bullet"/>
      <w:lvlText w:val="o"/>
      <w:lvlJc w:val="left"/>
      <w:pPr>
        <w:ind w:left="6840" w:hanging="360"/>
      </w:pPr>
      <w:rPr>
        <w:rFonts w:ascii="Courier New" w:hAnsi="Courier New" w:cs="Courier New" w:hint="default"/>
      </w:rPr>
    </w:lvl>
    <w:lvl w:ilvl="5" w:tplc="042A0005" w:tentative="1">
      <w:start w:val="1"/>
      <w:numFmt w:val="bullet"/>
      <w:lvlText w:val=""/>
      <w:lvlJc w:val="left"/>
      <w:pPr>
        <w:ind w:left="7560" w:hanging="360"/>
      </w:pPr>
      <w:rPr>
        <w:rFonts w:ascii="Wingdings" w:hAnsi="Wingdings" w:hint="default"/>
      </w:rPr>
    </w:lvl>
    <w:lvl w:ilvl="6" w:tplc="042A0001" w:tentative="1">
      <w:start w:val="1"/>
      <w:numFmt w:val="bullet"/>
      <w:lvlText w:val=""/>
      <w:lvlJc w:val="left"/>
      <w:pPr>
        <w:ind w:left="8280" w:hanging="360"/>
      </w:pPr>
      <w:rPr>
        <w:rFonts w:ascii="Symbol" w:hAnsi="Symbol" w:hint="default"/>
      </w:rPr>
    </w:lvl>
    <w:lvl w:ilvl="7" w:tplc="042A0003" w:tentative="1">
      <w:start w:val="1"/>
      <w:numFmt w:val="bullet"/>
      <w:lvlText w:val="o"/>
      <w:lvlJc w:val="left"/>
      <w:pPr>
        <w:ind w:left="9000" w:hanging="360"/>
      </w:pPr>
      <w:rPr>
        <w:rFonts w:ascii="Courier New" w:hAnsi="Courier New" w:cs="Courier New" w:hint="default"/>
      </w:rPr>
    </w:lvl>
    <w:lvl w:ilvl="8" w:tplc="042A0005" w:tentative="1">
      <w:start w:val="1"/>
      <w:numFmt w:val="bullet"/>
      <w:lvlText w:val=""/>
      <w:lvlJc w:val="left"/>
      <w:pPr>
        <w:ind w:left="9720" w:hanging="360"/>
      </w:pPr>
      <w:rPr>
        <w:rFonts w:ascii="Wingdings" w:hAnsi="Wingdings" w:hint="default"/>
      </w:rPr>
    </w:lvl>
  </w:abstractNum>
  <w:abstractNum w:abstractNumId="4">
    <w:nsid w:val="0CC21BFB"/>
    <w:multiLevelType w:val="hybridMultilevel"/>
    <w:tmpl w:val="1FFC5606"/>
    <w:lvl w:ilvl="0" w:tplc="D99CADEE">
      <w:start w:val="1"/>
      <w:numFmt w:val="decimal"/>
      <w:lvlText w:val="(%1)"/>
      <w:lvlJc w:val="left"/>
      <w:pPr>
        <w:ind w:left="760" w:hanging="40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DB6198"/>
    <w:multiLevelType w:val="hybridMultilevel"/>
    <w:tmpl w:val="374005BA"/>
    <w:lvl w:ilvl="0" w:tplc="75DE28E4">
      <w:start w:val="1"/>
      <w:numFmt w:val="decimal"/>
      <w:lvlText w:val="(%1)"/>
      <w:lvlJc w:val="left"/>
      <w:pPr>
        <w:ind w:left="760" w:hanging="40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3496D"/>
    <w:multiLevelType w:val="hybridMultilevel"/>
    <w:tmpl w:val="F41431C2"/>
    <w:lvl w:ilvl="0" w:tplc="0204A762">
      <w:start w:val="1"/>
      <w:numFmt w:val="decimal"/>
      <w:lvlText w:val="(%1)"/>
      <w:lvlJc w:val="left"/>
      <w:pPr>
        <w:ind w:left="760" w:hanging="40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351884"/>
    <w:multiLevelType w:val="multilevel"/>
    <w:tmpl w:val="4CC47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BD7B54"/>
    <w:multiLevelType w:val="hybridMultilevel"/>
    <w:tmpl w:val="2EAE10C4"/>
    <w:lvl w:ilvl="0" w:tplc="E818A18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14EF3A45"/>
    <w:multiLevelType w:val="multilevel"/>
    <w:tmpl w:val="5958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AC50F5"/>
    <w:multiLevelType w:val="hybridMultilevel"/>
    <w:tmpl w:val="E444BA34"/>
    <w:lvl w:ilvl="0" w:tplc="FE00F45A">
      <w:start w:val="1"/>
      <w:numFmt w:val="decimal"/>
      <w:lvlText w:val="%1."/>
      <w:lvlJc w:val="left"/>
      <w:pPr>
        <w:ind w:left="1460" w:hanging="360"/>
      </w:pPr>
      <w:rPr>
        <w:rFonts w:hint="default"/>
      </w:r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1">
    <w:nsid w:val="200759DD"/>
    <w:multiLevelType w:val="multilevel"/>
    <w:tmpl w:val="76262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EF36EA"/>
    <w:multiLevelType w:val="multilevel"/>
    <w:tmpl w:val="D4F437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281B567C"/>
    <w:multiLevelType w:val="hybridMultilevel"/>
    <w:tmpl w:val="94249E54"/>
    <w:lvl w:ilvl="0" w:tplc="ACACB03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C2A709A"/>
    <w:multiLevelType w:val="multilevel"/>
    <w:tmpl w:val="43A6B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8472C1"/>
    <w:multiLevelType w:val="hybridMultilevel"/>
    <w:tmpl w:val="6E646A30"/>
    <w:lvl w:ilvl="0" w:tplc="304C2EF8">
      <w:start w:val="1"/>
      <w:numFmt w:val="decimal"/>
      <w:lvlText w:val="(%1)"/>
      <w:lvlJc w:val="left"/>
      <w:pPr>
        <w:ind w:left="760" w:hanging="40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F14245"/>
    <w:multiLevelType w:val="hybridMultilevel"/>
    <w:tmpl w:val="30C2DB60"/>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7">
    <w:nsid w:val="30086498"/>
    <w:multiLevelType w:val="multilevel"/>
    <w:tmpl w:val="A9DA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321D40"/>
    <w:multiLevelType w:val="multilevel"/>
    <w:tmpl w:val="90B2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E97A04"/>
    <w:multiLevelType w:val="multilevel"/>
    <w:tmpl w:val="9B849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1639BC"/>
    <w:multiLevelType w:val="hybridMultilevel"/>
    <w:tmpl w:val="2A289BBE"/>
    <w:lvl w:ilvl="0" w:tplc="CA104D56">
      <w:start w:val="1"/>
      <w:numFmt w:val="decimal"/>
      <w:lvlText w:val="(%1)"/>
      <w:lvlJc w:val="left"/>
      <w:pPr>
        <w:ind w:left="760" w:hanging="40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D96E66"/>
    <w:multiLevelType w:val="hybridMultilevel"/>
    <w:tmpl w:val="6546863A"/>
    <w:lvl w:ilvl="0" w:tplc="7E3C2540">
      <w:start w:val="1"/>
      <w:numFmt w:val="decimal"/>
      <w:lvlText w:val="%1."/>
      <w:lvlJc w:val="left"/>
      <w:pPr>
        <w:ind w:left="1460" w:hanging="360"/>
      </w:pPr>
      <w:rPr>
        <w:rFonts w:hint="default"/>
      </w:r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22">
    <w:nsid w:val="4E9036CB"/>
    <w:multiLevelType w:val="hybridMultilevel"/>
    <w:tmpl w:val="EB34B8F0"/>
    <w:lvl w:ilvl="0" w:tplc="84B2205C">
      <w:start w:val="1"/>
      <w:numFmt w:val="decimal"/>
      <w:lvlText w:val="(%1)"/>
      <w:lvlJc w:val="left"/>
      <w:pPr>
        <w:ind w:left="760" w:hanging="40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9B579A"/>
    <w:multiLevelType w:val="hybridMultilevel"/>
    <w:tmpl w:val="34A63E5E"/>
    <w:lvl w:ilvl="0" w:tplc="88000FB0">
      <w:start w:val="1"/>
      <w:numFmt w:val="decimal"/>
      <w:lvlText w:val="%1."/>
      <w:lvlJc w:val="left"/>
      <w:pPr>
        <w:ind w:left="1460" w:hanging="360"/>
      </w:pPr>
      <w:rPr>
        <w:rFonts w:hint="default"/>
      </w:r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24">
    <w:nsid w:val="5006419D"/>
    <w:multiLevelType w:val="hybridMultilevel"/>
    <w:tmpl w:val="90A446A6"/>
    <w:lvl w:ilvl="0" w:tplc="5C8027E2">
      <w:start w:val="1"/>
      <w:numFmt w:val="decimal"/>
      <w:lvlText w:val="(%1)"/>
      <w:lvlJc w:val="left"/>
      <w:pPr>
        <w:ind w:left="760" w:hanging="40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7A17E3"/>
    <w:multiLevelType w:val="hybridMultilevel"/>
    <w:tmpl w:val="22AEE682"/>
    <w:lvl w:ilvl="0" w:tplc="9028EBFE">
      <w:start w:val="4"/>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nsid w:val="54F2130D"/>
    <w:multiLevelType w:val="multilevel"/>
    <w:tmpl w:val="3F1C9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5E74F6F"/>
    <w:multiLevelType w:val="hybridMultilevel"/>
    <w:tmpl w:val="111CDC3E"/>
    <w:lvl w:ilvl="0" w:tplc="0409000F">
      <w:start w:val="1"/>
      <w:numFmt w:val="decimal"/>
      <w:lvlText w:val="%1."/>
      <w:lvlJc w:val="left"/>
      <w:pPr>
        <w:ind w:left="720" w:hanging="720"/>
      </w:pPr>
      <w:rPr>
        <w:rFonts w:hint="default"/>
      </w:rPr>
    </w:lvl>
    <w:lvl w:ilvl="1" w:tplc="04090011">
      <w:start w:val="1"/>
      <w:numFmt w:val="upperLetter"/>
      <w:lvlText w:val="%2."/>
      <w:lvlJc w:val="left"/>
      <w:pPr>
        <w:ind w:left="960" w:hanging="480"/>
      </w:pPr>
    </w:lvl>
    <w:lvl w:ilvl="2" w:tplc="0409000F">
      <w:start w:val="1"/>
      <w:numFmt w:val="decimal"/>
      <w:lvlText w:val="%3."/>
      <w:lvlJc w:val="left"/>
      <w:pPr>
        <w:ind w:left="1440" w:hanging="480"/>
      </w:pPr>
    </w:lvl>
    <w:lvl w:ilvl="3" w:tplc="1DA0FFA2">
      <w:start w:val="1"/>
      <w:numFmt w:val="lowerLetter"/>
      <w:lvlText w:val="%4."/>
      <w:lvlJc w:val="right"/>
      <w:pPr>
        <w:ind w:left="1920" w:hanging="480"/>
      </w:pPr>
      <w:rPr>
        <w:rFonts w:hint="eastAsia"/>
        <w:color w:val="auto"/>
      </w:rPr>
    </w:lvl>
    <w:lvl w:ilvl="4" w:tplc="04090019">
      <w:start w:val="1"/>
      <w:numFmt w:val="ideographTraditional"/>
      <w:lvlText w:val="%5、"/>
      <w:lvlJc w:val="left"/>
      <w:pPr>
        <w:ind w:left="2400" w:hanging="480"/>
      </w:pPr>
    </w:lvl>
    <w:lvl w:ilvl="5" w:tplc="556C7D7A">
      <w:start w:val="2"/>
      <w:numFmt w:val="bullet"/>
      <w:lvlText w:val="-"/>
      <w:lvlJc w:val="left"/>
      <w:pPr>
        <w:ind w:left="2760" w:hanging="360"/>
      </w:pPr>
      <w:rPr>
        <w:rFonts w:ascii="Calibri" w:eastAsiaTheme="minorEastAsia" w:hAnsi="Calibri" w:cs="Calibri" w:hint="default"/>
      </w:r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07A62A2"/>
    <w:multiLevelType w:val="multilevel"/>
    <w:tmpl w:val="47806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2372540"/>
    <w:multiLevelType w:val="multilevel"/>
    <w:tmpl w:val="831C2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5A95CBD"/>
    <w:multiLevelType w:val="hybridMultilevel"/>
    <w:tmpl w:val="0414E08E"/>
    <w:lvl w:ilvl="0" w:tplc="69B23F3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65A4DA9"/>
    <w:multiLevelType w:val="hybridMultilevel"/>
    <w:tmpl w:val="3FB2F1EC"/>
    <w:lvl w:ilvl="0" w:tplc="3EAA6CCC">
      <w:start w:val="1"/>
      <w:numFmt w:val="decimal"/>
      <w:lvlText w:val="(%1)"/>
      <w:lvlJc w:val="left"/>
      <w:pPr>
        <w:ind w:left="760" w:hanging="40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771E1D"/>
    <w:multiLevelType w:val="hybridMultilevel"/>
    <w:tmpl w:val="E43C6714"/>
    <w:lvl w:ilvl="0" w:tplc="C482285E">
      <w:start w:val="1"/>
      <w:numFmt w:val="bullet"/>
      <w:lvlText w:val="•"/>
      <w:lvlJc w:val="left"/>
      <w:pPr>
        <w:tabs>
          <w:tab w:val="num" w:pos="720"/>
        </w:tabs>
        <w:ind w:left="720" w:hanging="360"/>
      </w:pPr>
      <w:rPr>
        <w:rFonts w:ascii="Arial" w:hAnsi="Arial" w:hint="default"/>
      </w:rPr>
    </w:lvl>
    <w:lvl w:ilvl="1" w:tplc="062630B8" w:tentative="1">
      <w:start w:val="1"/>
      <w:numFmt w:val="bullet"/>
      <w:lvlText w:val="•"/>
      <w:lvlJc w:val="left"/>
      <w:pPr>
        <w:tabs>
          <w:tab w:val="num" w:pos="1440"/>
        </w:tabs>
        <w:ind w:left="1440" w:hanging="360"/>
      </w:pPr>
      <w:rPr>
        <w:rFonts w:ascii="Arial" w:hAnsi="Arial" w:hint="default"/>
      </w:rPr>
    </w:lvl>
    <w:lvl w:ilvl="2" w:tplc="786E9276" w:tentative="1">
      <w:start w:val="1"/>
      <w:numFmt w:val="bullet"/>
      <w:lvlText w:val="•"/>
      <w:lvlJc w:val="left"/>
      <w:pPr>
        <w:tabs>
          <w:tab w:val="num" w:pos="2160"/>
        </w:tabs>
        <w:ind w:left="2160" w:hanging="360"/>
      </w:pPr>
      <w:rPr>
        <w:rFonts w:ascii="Arial" w:hAnsi="Arial" w:hint="default"/>
      </w:rPr>
    </w:lvl>
    <w:lvl w:ilvl="3" w:tplc="46209E08" w:tentative="1">
      <w:start w:val="1"/>
      <w:numFmt w:val="bullet"/>
      <w:lvlText w:val="•"/>
      <w:lvlJc w:val="left"/>
      <w:pPr>
        <w:tabs>
          <w:tab w:val="num" w:pos="2880"/>
        </w:tabs>
        <w:ind w:left="2880" w:hanging="360"/>
      </w:pPr>
      <w:rPr>
        <w:rFonts w:ascii="Arial" w:hAnsi="Arial" w:hint="default"/>
      </w:rPr>
    </w:lvl>
    <w:lvl w:ilvl="4" w:tplc="07F6E03C" w:tentative="1">
      <w:start w:val="1"/>
      <w:numFmt w:val="bullet"/>
      <w:lvlText w:val="•"/>
      <w:lvlJc w:val="left"/>
      <w:pPr>
        <w:tabs>
          <w:tab w:val="num" w:pos="3600"/>
        </w:tabs>
        <w:ind w:left="3600" w:hanging="360"/>
      </w:pPr>
      <w:rPr>
        <w:rFonts w:ascii="Arial" w:hAnsi="Arial" w:hint="default"/>
      </w:rPr>
    </w:lvl>
    <w:lvl w:ilvl="5" w:tplc="1A58F782" w:tentative="1">
      <w:start w:val="1"/>
      <w:numFmt w:val="bullet"/>
      <w:lvlText w:val="•"/>
      <w:lvlJc w:val="left"/>
      <w:pPr>
        <w:tabs>
          <w:tab w:val="num" w:pos="4320"/>
        </w:tabs>
        <w:ind w:left="4320" w:hanging="360"/>
      </w:pPr>
      <w:rPr>
        <w:rFonts w:ascii="Arial" w:hAnsi="Arial" w:hint="default"/>
      </w:rPr>
    </w:lvl>
    <w:lvl w:ilvl="6" w:tplc="C2CCA310" w:tentative="1">
      <w:start w:val="1"/>
      <w:numFmt w:val="bullet"/>
      <w:lvlText w:val="•"/>
      <w:lvlJc w:val="left"/>
      <w:pPr>
        <w:tabs>
          <w:tab w:val="num" w:pos="5040"/>
        </w:tabs>
        <w:ind w:left="5040" w:hanging="360"/>
      </w:pPr>
      <w:rPr>
        <w:rFonts w:ascii="Arial" w:hAnsi="Arial" w:hint="default"/>
      </w:rPr>
    </w:lvl>
    <w:lvl w:ilvl="7" w:tplc="0BF4F8D0" w:tentative="1">
      <w:start w:val="1"/>
      <w:numFmt w:val="bullet"/>
      <w:lvlText w:val="•"/>
      <w:lvlJc w:val="left"/>
      <w:pPr>
        <w:tabs>
          <w:tab w:val="num" w:pos="5760"/>
        </w:tabs>
        <w:ind w:left="5760" w:hanging="360"/>
      </w:pPr>
      <w:rPr>
        <w:rFonts w:ascii="Arial" w:hAnsi="Arial" w:hint="default"/>
      </w:rPr>
    </w:lvl>
    <w:lvl w:ilvl="8" w:tplc="CDD4CB6C" w:tentative="1">
      <w:start w:val="1"/>
      <w:numFmt w:val="bullet"/>
      <w:lvlText w:val="•"/>
      <w:lvlJc w:val="left"/>
      <w:pPr>
        <w:tabs>
          <w:tab w:val="num" w:pos="6480"/>
        </w:tabs>
        <w:ind w:left="6480" w:hanging="360"/>
      </w:pPr>
      <w:rPr>
        <w:rFonts w:ascii="Arial" w:hAnsi="Arial" w:hint="default"/>
      </w:rPr>
    </w:lvl>
  </w:abstractNum>
  <w:abstractNum w:abstractNumId="33">
    <w:nsid w:val="6CAD7B62"/>
    <w:multiLevelType w:val="multilevel"/>
    <w:tmpl w:val="7526C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18F427C"/>
    <w:multiLevelType w:val="hybridMultilevel"/>
    <w:tmpl w:val="531CD16C"/>
    <w:lvl w:ilvl="0" w:tplc="A394DEA8">
      <w:start w:val="1"/>
      <w:numFmt w:val="decimal"/>
      <w:lvlText w:val="(%1)"/>
      <w:lvlJc w:val="left"/>
      <w:pPr>
        <w:ind w:left="760" w:hanging="40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404CE"/>
    <w:multiLevelType w:val="hybridMultilevel"/>
    <w:tmpl w:val="ECCAA664"/>
    <w:lvl w:ilvl="0" w:tplc="04090011">
      <w:start w:val="1"/>
      <w:numFmt w:val="upperLetter"/>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nsid w:val="78B765EC"/>
    <w:multiLevelType w:val="multilevel"/>
    <w:tmpl w:val="94A64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462DB9"/>
    <w:multiLevelType w:val="hybridMultilevel"/>
    <w:tmpl w:val="F68E3586"/>
    <w:lvl w:ilvl="0" w:tplc="C2AE2A58">
      <w:start w:val="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D636FD"/>
    <w:multiLevelType w:val="multilevel"/>
    <w:tmpl w:val="745C5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BA65B37"/>
    <w:multiLevelType w:val="hybridMultilevel"/>
    <w:tmpl w:val="62A4C6FA"/>
    <w:lvl w:ilvl="0" w:tplc="FFFFFFFF">
      <w:start w:val="1"/>
      <w:numFmt w:val="decimal"/>
      <w:lvlText w:val="%1."/>
      <w:lvlJc w:val="left"/>
      <w:pPr>
        <w:ind w:left="360" w:hanging="360"/>
      </w:pPr>
      <w:rPr>
        <w:rFonts w:ascii="Gill Sans MT" w:hAnsi="Gill Sans MT" w:hint="default"/>
        <w:color w:val="7F7F7F" w:themeColor="text1" w:themeTint="80"/>
        <w:sz w:val="24"/>
        <w:szCs w:val="24"/>
        <w:shd w:val="clear" w:color="auto" w:fil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abstractNumId w:val="12"/>
  </w:num>
  <w:num w:numId="2">
    <w:abstractNumId w:val="14"/>
  </w:num>
  <w:num w:numId="3">
    <w:abstractNumId w:val="38"/>
  </w:num>
  <w:num w:numId="4">
    <w:abstractNumId w:val="28"/>
  </w:num>
  <w:num w:numId="5">
    <w:abstractNumId w:val="24"/>
  </w:num>
  <w:num w:numId="6">
    <w:abstractNumId w:val="31"/>
  </w:num>
  <w:num w:numId="7">
    <w:abstractNumId w:val="34"/>
  </w:num>
  <w:num w:numId="8">
    <w:abstractNumId w:val="6"/>
  </w:num>
  <w:num w:numId="9">
    <w:abstractNumId w:val="4"/>
  </w:num>
  <w:num w:numId="10">
    <w:abstractNumId w:val="5"/>
  </w:num>
  <w:num w:numId="11">
    <w:abstractNumId w:val="20"/>
  </w:num>
  <w:num w:numId="12">
    <w:abstractNumId w:val="15"/>
  </w:num>
  <w:num w:numId="13">
    <w:abstractNumId w:val="22"/>
  </w:num>
  <w:num w:numId="14">
    <w:abstractNumId w:val="7"/>
  </w:num>
  <w:num w:numId="15">
    <w:abstractNumId w:val="11"/>
  </w:num>
  <w:num w:numId="16">
    <w:abstractNumId w:val="17"/>
  </w:num>
  <w:num w:numId="17">
    <w:abstractNumId w:val="19"/>
  </w:num>
  <w:num w:numId="18">
    <w:abstractNumId w:val="29"/>
  </w:num>
  <w:num w:numId="19">
    <w:abstractNumId w:val="26"/>
  </w:num>
  <w:num w:numId="20">
    <w:abstractNumId w:val="36"/>
  </w:num>
  <w:num w:numId="21">
    <w:abstractNumId w:val="18"/>
  </w:num>
  <w:num w:numId="22">
    <w:abstractNumId w:val="9"/>
  </w:num>
  <w:num w:numId="23">
    <w:abstractNumId w:val="33"/>
  </w:num>
  <w:num w:numId="24">
    <w:abstractNumId w:val="3"/>
  </w:num>
  <w:num w:numId="25">
    <w:abstractNumId w:val="8"/>
  </w:num>
  <w:num w:numId="26">
    <w:abstractNumId w:val="1"/>
  </w:num>
  <w:num w:numId="27">
    <w:abstractNumId w:val="2"/>
  </w:num>
  <w:num w:numId="28">
    <w:abstractNumId w:val="25"/>
  </w:num>
  <w:num w:numId="29">
    <w:abstractNumId w:val="0"/>
  </w:num>
  <w:num w:numId="30">
    <w:abstractNumId w:val="37"/>
  </w:num>
  <w:num w:numId="31">
    <w:abstractNumId w:val="13"/>
  </w:num>
  <w:num w:numId="32">
    <w:abstractNumId w:val="30"/>
  </w:num>
  <w:num w:numId="33">
    <w:abstractNumId w:val="39"/>
  </w:num>
  <w:num w:numId="34">
    <w:abstractNumId w:val="27"/>
  </w:num>
  <w:num w:numId="35">
    <w:abstractNumId w:val="35"/>
  </w:num>
  <w:num w:numId="36">
    <w:abstractNumId w:val="16"/>
  </w:num>
  <w:num w:numId="37">
    <w:abstractNumId w:val="21"/>
  </w:num>
  <w:num w:numId="38">
    <w:abstractNumId w:val="23"/>
  </w:num>
  <w:num w:numId="39">
    <w:abstractNumId w:val="10"/>
  </w:num>
  <w:num w:numId="4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0E4EE4"/>
    <w:rsid w:val="00010BE7"/>
    <w:rsid w:val="00013605"/>
    <w:rsid w:val="000258E9"/>
    <w:rsid w:val="00037070"/>
    <w:rsid w:val="00045E67"/>
    <w:rsid w:val="00062D44"/>
    <w:rsid w:val="00082B90"/>
    <w:rsid w:val="000B6BC9"/>
    <w:rsid w:val="000E4EE4"/>
    <w:rsid w:val="00124BAD"/>
    <w:rsid w:val="001250D7"/>
    <w:rsid w:val="001D4855"/>
    <w:rsid w:val="001D61F9"/>
    <w:rsid w:val="001D7BBF"/>
    <w:rsid w:val="001F3A03"/>
    <w:rsid w:val="00201CCB"/>
    <w:rsid w:val="00203199"/>
    <w:rsid w:val="00217629"/>
    <w:rsid w:val="002403A1"/>
    <w:rsid w:val="0024042E"/>
    <w:rsid w:val="00247ED9"/>
    <w:rsid w:val="002741FD"/>
    <w:rsid w:val="0028225B"/>
    <w:rsid w:val="00286F34"/>
    <w:rsid w:val="002876B3"/>
    <w:rsid w:val="002903C4"/>
    <w:rsid w:val="002B7439"/>
    <w:rsid w:val="002C48D0"/>
    <w:rsid w:val="002D4894"/>
    <w:rsid w:val="003005D6"/>
    <w:rsid w:val="00300773"/>
    <w:rsid w:val="00334637"/>
    <w:rsid w:val="00347494"/>
    <w:rsid w:val="003548FD"/>
    <w:rsid w:val="003623F9"/>
    <w:rsid w:val="003644CA"/>
    <w:rsid w:val="0037538C"/>
    <w:rsid w:val="003931C4"/>
    <w:rsid w:val="003A1431"/>
    <w:rsid w:val="003B6BB1"/>
    <w:rsid w:val="003D1F72"/>
    <w:rsid w:val="003E7995"/>
    <w:rsid w:val="003F5FF6"/>
    <w:rsid w:val="0041184E"/>
    <w:rsid w:val="00426CD9"/>
    <w:rsid w:val="004501D4"/>
    <w:rsid w:val="004628CC"/>
    <w:rsid w:val="00472CC7"/>
    <w:rsid w:val="004903BD"/>
    <w:rsid w:val="004A0D92"/>
    <w:rsid w:val="004A6687"/>
    <w:rsid w:val="004D3445"/>
    <w:rsid w:val="004D7B2D"/>
    <w:rsid w:val="004E7BC5"/>
    <w:rsid w:val="004F74B5"/>
    <w:rsid w:val="00502FBC"/>
    <w:rsid w:val="00511A35"/>
    <w:rsid w:val="00526A6C"/>
    <w:rsid w:val="00527E59"/>
    <w:rsid w:val="005347B0"/>
    <w:rsid w:val="005438D4"/>
    <w:rsid w:val="00560936"/>
    <w:rsid w:val="005653A6"/>
    <w:rsid w:val="00580A8F"/>
    <w:rsid w:val="00592DF5"/>
    <w:rsid w:val="005B43AA"/>
    <w:rsid w:val="005C5C3D"/>
    <w:rsid w:val="005E1588"/>
    <w:rsid w:val="005E5976"/>
    <w:rsid w:val="005F7001"/>
    <w:rsid w:val="005F79AC"/>
    <w:rsid w:val="006007F9"/>
    <w:rsid w:val="006009A9"/>
    <w:rsid w:val="006022F4"/>
    <w:rsid w:val="006329D4"/>
    <w:rsid w:val="00650758"/>
    <w:rsid w:val="00652656"/>
    <w:rsid w:val="006557A5"/>
    <w:rsid w:val="0067128A"/>
    <w:rsid w:val="00673038"/>
    <w:rsid w:val="0069729D"/>
    <w:rsid w:val="006E0AA4"/>
    <w:rsid w:val="006F061F"/>
    <w:rsid w:val="006F7BE3"/>
    <w:rsid w:val="007175D2"/>
    <w:rsid w:val="00753C67"/>
    <w:rsid w:val="007634FA"/>
    <w:rsid w:val="00770A18"/>
    <w:rsid w:val="00777FAE"/>
    <w:rsid w:val="00781181"/>
    <w:rsid w:val="0078149A"/>
    <w:rsid w:val="0079676C"/>
    <w:rsid w:val="007A069C"/>
    <w:rsid w:val="007A1637"/>
    <w:rsid w:val="007A6D17"/>
    <w:rsid w:val="007D41D7"/>
    <w:rsid w:val="007E3F9B"/>
    <w:rsid w:val="007E506D"/>
    <w:rsid w:val="007F0A2E"/>
    <w:rsid w:val="007F0CF5"/>
    <w:rsid w:val="0080510A"/>
    <w:rsid w:val="00822D08"/>
    <w:rsid w:val="00831978"/>
    <w:rsid w:val="00843252"/>
    <w:rsid w:val="00843BC0"/>
    <w:rsid w:val="00847251"/>
    <w:rsid w:val="0085407E"/>
    <w:rsid w:val="00865A5F"/>
    <w:rsid w:val="008820E2"/>
    <w:rsid w:val="008D1CD1"/>
    <w:rsid w:val="008D7649"/>
    <w:rsid w:val="00927BB5"/>
    <w:rsid w:val="00932E1B"/>
    <w:rsid w:val="009339E5"/>
    <w:rsid w:val="00960CDD"/>
    <w:rsid w:val="00966B7A"/>
    <w:rsid w:val="009727B1"/>
    <w:rsid w:val="00975D01"/>
    <w:rsid w:val="009775A2"/>
    <w:rsid w:val="00984F5C"/>
    <w:rsid w:val="009911E0"/>
    <w:rsid w:val="009B41C0"/>
    <w:rsid w:val="009D0CD4"/>
    <w:rsid w:val="009E3100"/>
    <w:rsid w:val="009E4FC1"/>
    <w:rsid w:val="009E5147"/>
    <w:rsid w:val="009E5740"/>
    <w:rsid w:val="009E6D94"/>
    <w:rsid w:val="009F3129"/>
    <w:rsid w:val="00A0156A"/>
    <w:rsid w:val="00A33E0E"/>
    <w:rsid w:val="00A4147E"/>
    <w:rsid w:val="00A5054F"/>
    <w:rsid w:val="00A55D5B"/>
    <w:rsid w:val="00A8412F"/>
    <w:rsid w:val="00A872ED"/>
    <w:rsid w:val="00A921D2"/>
    <w:rsid w:val="00A95705"/>
    <w:rsid w:val="00A95E29"/>
    <w:rsid w:val="00AD2720"/>
    <w:rsid w:val="00AD38A0"/>
    <w:rsid w:val="00AF01AA"/>
    <w:rsid w:val="00AF2789"/>
    <w:rsid w:val="00B1016B"/>
    <w:rsid w:val="00B40E42"/>
    <w:rsid w:val="00B61119"/>
    <w:rsid w:val="00B61DC4"/>
    <w:rsid w:val="00B664DE"/>
    <w:rsid w:val="00B73502"/>
    <w:rsid w:val="00B75548"/>
    <w:rsid w:val="00BA65AB"/>
    <w:rsid w:val="00BC0557"/>
    <w:rsid w:val="00BC2D72"/>
    <w:rsid w:val="00BD7D1C"/>
    <w:rsid w:val="00BE0B9D"/>
    <w:rsid w:val="00C269D1"/>
    <w:rsid w:val="00C37B59"/>
    <w:rsid w:val="00C553C1"/>
    <w:rsid w:val="00C56C15"/>
    <w:rsid w:val="00C60181"/>
    <w:rsid w:val="00C60E6B"/>
    <w:rsid w:val="00C67946"/>
    <w:rsid w:val="00C75815"/>
    <w:rsid w:val="00CB4F12"/>
    <w:rsid w:val="00CC6D35"/>
    <w:rsid w:val="00CD1A78"/>
    <w:rsid w:val="00CD7D70"/>
    <w:rsid w:val="00CE4E6B"/>
    <w:rsid w:val="00CF37FB"/>
    <w:rsid w:val="00D00B49"/>
    <w:rsid w:val="00D0371A"/>
    <w:rsid w:val="00D14FFF"/>
    <w:rsid w:val="00D51542"/>
    <w:rsid w:val="00D73352"/>
    <w:rsid w:val="00D85977"/>
    <w:rsid w:val="00DC0190"/>
    <w:rsid w:val="00DC0A73"/>
    <w:rsid w:val="00E200AC"/>
    <w:rsid w:val="00E47469"/>
    <w:rsid w:val="00E7128F"/>
    <w:rsid w:val="00E841C5"/>
    <w:rsid w:val="00E968BE"/>
    <w:rsid w:val="00EB7F49"/>
    <w:rsid w:val="00EC7399"/>
    <w:rsid w:val="00EE1CC3"/>
    <w:rsid w:val="00EE1CCA"/>
    <w:rsid w:val="00EF0A6B"/>
    <w:rsid w:val="00F10ECE"/>
    <w:rsid w:val="00F37A3C"/>
    <w:rsid w:val="00F959C5"/>
    <w:rsid w:val="00FA1922"/>
    <w:rsid w:val="00FC12A4"/>
    <w:rsid w:val="00FF089D"/>
    <w:rsid w:val="00FF438D"/>
    <w:rsid w:val="00FF6E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C0A73"/>
  </w:style>
  <w:style w:type="paragraph" w:styleId="Heading1">
    <w:name w:val="heading 1"/>
    <w:basedOn w:val="Normal"/>
    <w:next w:val="Normal"/>
    <w:rsid w:val="00DC0A73"/>
    <w:pPr>
      <w:keepNext/>
      <w:keepLines/>
      <w:spacing w:before="480" w:after="0"/>
      <w:outlineLvl w:val="0"/>
    </w:pPr>
    <w:rPr>
      <w:rFonts w:ascii="Calibri" w:eastAsia="Calibri" w:hAnsi="Calibri" w:cs="Calibri"/>
      <w:b/>
      <w:color w:val="365F91"/>
    </w:rPr>
  </w:style>
  <w:style w:type="paragraph" w:styleId="Heading2">
    <w:name w:val="heading 2"/>
    <w:basedOn w:val="Normal"/>
    <w:next w:val="Normal"/>
    <w:rsid w:val="00DC0A73"/>
    <w:pPr>
      <w:keepNext/>
      <w:keepLines/>
      <w:spacing w:before="200" w:after="0"/>
      <w:outlineLvl w:val="1"/>
    </w:pPr>
    <w:rPr>
      <w:rFonts w:ascii="Calibri" w:eastAsia="Calibri" w:hAnsi="Calibri" w:cs="Calibri"/>
      <w:b/>
      <w:color w:val="4F81BD"/>
      <w:sz w:val="26"/>
      <w:szCs w:val="26"/>
    </w:rPr>
  </w:style>
  <w:style w:type="paragraph" w:styleId="Heading3">
    <w:name w:val="heading 3"/>
    <w:basedOn w:val="Normal"/>
    <w:next w:val="Normal"/>
    <w:rsid w:val="00DC0A73"/>
    <w:pPr>
      <w:keepNext/>
      <w:spacing w:before="240" w:after="60"/>
      <w:outlineLvl w:val="2"/>
    </w:pPr>
    <w:rPr>
      <w:rFonts w:ascii="Cambria" w:eastAsia="Cambria" w:hAnsi="Cambria" w:cs="Cambria"/>
      <w:b/>
      <w:sz w:val="26"/>
      <w:szCs w:val="26"/>
    </w:rPr>
  </w:style>
  <w:style w:type="paragraph" w:styleId="Heading4">
    <w:name w:val="heading 4"/>
    <w:basedOn w:val="Normal"/>
    <w:next w:val="Normal"/>
    <w:rsid w:val="00DC0A73"/>
    <w:pPr>
      <w:keepNext/>
      <w:spacing w:before="240" w:after="60"/>
      <w:outlineLvl w:val="3"/>
    </w:pPr>
    <w:rPr>
      <w:rFonts w:ascii="Calibri" w:eastAsia="Calibri" w:hAnsi="Calibri" w:cs="Calibri"/>
      <w:b/>
    </w:rPr>
  </w:style>
  <w:style w:type="paragraph" w:styleId="Heading5">
    <w:name w:val="heading 5"/>
    <w:basedOn w:val="Normal"/>
    <w:next w:val="Normal"/>
    <w:rsid w:val="00DC0A73"/>
    <w:pPr>
      <w:keepNext/>
      <w:keepLines/>
      <w:spacing w:before="220" w:after="40"/>
      <w:outlineLvl w:val="4"/>
    </w:pPr>
    <w:rPr>
      <w:b/>
      <w:sz w:val="22"/>
      <w:szCs w:val="22"/>
    </w:rPr>
  </w:style>
  <w:style w:type="paragraph" w:styleId="Heading6">
    <w:name w:val="heading 6"/>
    <w:basedOn w:val="Normal"/>
    <w:next w:val="Normal"/>
    <w:rsid w:val="00DC0A7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rsid w:val="00DC0A73"/>
    <w:tblPr>
      <w:tblCellMar>
        <w:top w:w="0" w:type="dxa"/>
        <w:left w:w="0" w:type="dxa"/>
        <w:bottom w:w="0" w:type="dxa"/>
        <w:right w:w="0" w:type="dxa"/>
      </w:tblCellMar>
    </w:tblPr>
  </w:style>
  <w:style w:type="paragraph" w:styleId="Title">
    <w:name w:val="Title"/>
    <w:basedOn w:val="Normal"/>
    <w:next w:val="Normal"/>
    <w:rsid w:val="00DC0A73"/>
    <w:pPr>
      <w:pBdr>
        <w:bottom w:val="single" w:sz="8" w:space="4" w:color="4F81BD"/>
      </w:pBdr>
      <w:spacing w:after="300" w:line="240" w:lineRule="auto"/>
    </w:pPr>
    <w:rPr>
      <w:rFonts w:ascii="Calibri" w:eastAsia="Calibri" w:hAnsi="Calibri" w:cs="Calibri"/>
      <w:color w:val="17365D"/>
      <w:sz w:val="52"/>
      <w:szCs w:val="52"/>
    </w:rPr>
  </w:style>
  <w:style w:type="paragraph" w:styleId="Subtitle">
    <w:name w:val="Subtitle"/>
    <w:basedOn w:val="Normal"/>
    <w:next w:val="Normal"/>
    <w:rsid w:val="00DC0A73"/>
    <w:pPr>
      <w:keepNext/>
      <w:keepLines/>
      <w:spacing w:before="360" w:after="80"/>
    </w:pPr>
    <w:rPr>
      <w:rFonts w:ascii="Georgia" w:eastAsia="Georgia" w:hAnsi="Georgia" w:cs="Georgia"/>
      <w:i/>
      <w:color w:val="666666"/>
      <w:sz w:val="48"/>
      <w:szCs w:val="48"/>
    </w:rPr>
  </w:style>
  <w:style w:type="character" w:styleId="Strong">
    <w:name w:val="Strong"/>
    <w:uiPriority w:val="22"/>
    <w:qFormat/>
    <w:rsid w:val="0069729D"/>
    <w:rPr>
      <w:b/>
      <w:bCs/>
    </w:rPr>
  </w:style>
  <w:style w:type="character" w:styleId="Hyperlink">
    <w:name w:val="Hyperlink"/>
    <w:unhideWhenUsed/>
    <w:rsid w:val="0069729D"/>
    <w:rPr>
      <w:color w:val="0000FF"/>
      <w:u w:val="single"/>
    </w:rPr>
  </w:style>
  <w:style w:type="character" w:styleId="Emphasis">
    <w:name w:val="Emphasis"/>
    <w:uiPriority w:val="20"/>
    <w:qFormat/>
    <w:rsid w:val="0069729D"/>
    <w:rPr>
      <w:i/>
      <w:iCs/>
    </w:rPr>
  </w:style>
  <w:style w:type="character" w:customStyle="1" w:styleId="button-container">
    <w:name w:val="button-container"/>
    <w:rsid w:val="0069729D"/>
  </w:style>
  <w:style w:type="paragraph" w:styleId="FootnoteText">
    <w:name w:val="footnote text"/>
    <w:basedOn w:val="Normal"/>
    <w:link w:val="FootnoteTextChar"/>
    <w:uiPriority w:val="99"/>
    <w:semiHidden/>
    <w:unhideWhenUsed/>
    <w:rsid w:val="0069729D"/>
    <w:pPr>
      <w:spacing w:after="0" w:line="240" w:lineRule="auto"/>
      <w:jc w:val="both"/>
    </w:pPr>
    <w:rPr>
      <w:rFonts w:eastAsia="Calibri"/>
      <w:kern w:val="2"/>
      <w:sz w:val="20"/>
      <w:szCs w:val="20"/>
    </w:rPr>
  </w:style>
  <w:style w:type="character" w:customStyle="1" w:styleId="FootnoteTextChar">
    <w:name w:val="Footnote Text Char"/>
    <w:basedOn w:val="DefaultParagraphFont"/>
    <w:link w:val="FootnoteText"/>
    <w:uiPriority w:val="99"/>
    <w:semiHidden/>
    <w:rsid w:val="0069729D"/>
    <w:rPr>
      <w:rFonts w:eastAsia="Calibri"/>
      <w:kern w:val="2"/>
      <w:sz w:val="20"/>
      <w:szCs w:val="20"/>
      <w:lang w:val="en-US"/>
    </w:rPr>
  </w:style>
  <w:style w:type="character" w:styleId="FootnoteReference">
    <w:name w:val="footnote reference"/>
    <w:uiPriority w:val="99"/>
    <w:semiHidden/>
    <w:unhideWhenUsed/>
    <w:rsid w:val="0069729D"/>
    <w:rPr>
      <w:vertAlign w:val="superscript"/>
    </w:rPr>
  </w:style>
  <w:style w:type="paragraph" w:styleId="NormalWeb">
    <w:name w:val="Normal (Web)"/>
    <w:basedOn w:val="Normal"/>
    <w:uiPriority w:val="99"/>
    <w:unhideWhenUsed/>
    <w:rsid w:val="00C60181"/>
    <w:pPr>
      <w:spacing w:before="100" w:beforeAutospacing="1" w:after="100" w:afterAutospacing="1" w:line="240" w:lineRule="auto"/>
    </w:pPr>
    <w:rPr>
      <w:sz w:val="24"/>
      <w:szCs w:val="24"/>
    </w:rPr>
  </w:style>
  <w:style w:type="paragraph" w:styleId="ListParagraph">
    <w:name w:val="List Paragraph"/>
    <w:basedOn w:val="Normal"/>
    <w:uiPriority w:val="34"/>
    <w:qFormat/>
    <w:rsid w:val="00300773"/>
    <w:pPr>
      <w:ind w:left="720"/>
      <w:contextualSpacing/>
    </w:pPr>
  </w:style>
  <w:style w:type="table" w:styleId="TableGrid">
    <w:name w:val="Table Grid"/>
    <w:basedOn w:val="TableNormal"/>
    <w:rsid w:val="00A0156A"/>
    <w:pPr>
      <w:spacing w:after="0" w:line="240" w:lineRule="auto"/>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1250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0D7"/>
    <w:rPr>
      <w:rFonts w:ascii="Tahoma" w:hAnsi="Tahoma" w:cs="Tahoma"/>
      <w:sz w:val="16"/>
      <w:szCs w:val="16"/>
    </w:rPr>
  </w:style>
  <w:style w:type="character" w:customStyle="1" w:styleId="rwrro3">
    <w:name w:val="rwrro3"/>
    <w:basedOn w:val="DefaultParagraphFont"/>
    <w:rsid w:val="00526A6C"/>
    <w:rPr>
      <w:strike w:val="0"/>
      <w:dstrike w:val="0"/>
      <w:color w:val="000000"/>
      <w:u w:val="none"/>
      <w:effect w:val="none"/>
    </w:rPr>
  </w:style>
  <w:style w:type="paragraph" w:styleId="BodyText">
    <w:name w:val="Body Text"/>
    <w:basedOn w:val="Normal"/>
    <w:link w:val="BodyTextChar"/>
    <w:rsid w:val="00526A6C"/>
    <w:pPr>
      <w:spacing w:after="0" w:line="288" w:lineRule="auto"/>
      <w:jc w:val="center"/>
    </w:pPr>
    <w:rPr>
      <w:b/>
      <w:bCs/>
      <w:sz w:val="26"/>
      <w:szCs w:val="24"/>
    </w:rPr>
  </w:style>
  <w:style w:type="character" w:customStyle="1" w:styleId="BodyTextChar">
    <w:name w:val="Body Text Char"/>
    <w:basedOn w:val="DefaultParagraphFont"/>
    <w:link w:val="BodyText"/>
    <w:rsid w:val="00526A6C"/>
    <w:rPr>
      <w:b/>
      <w:bCs/>
      <w:sz w:val="26"/>
      <w:szCs w:val="24"/>
    </w:rPr>
  </w:style>
  <w:style w:type="paragraph" w:styleId="Header">
    <w:name w:val="header"/>
    <w:basedOn w:val="Normal"/>
    <w:link w:val="HeaderChar"/>
    <w:uiPriority w:val="99"/>
    <w:rsid w:val="00526A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6A6C"/>
  </w:style>
  <w:style w:type="paragraph" w:styleId="Footer">
    <w:name w:val="footer"/>
    <w:basedOn w:val="Normal"/>
    <w:link w:val="FooterChar"/>
    <w:uiPriority w:val="99"/>
    <w:rsid w:val="00526A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6A6C"/>
  </w:style>
</w:styles>
</file>

<file path=word/webSettings.xml><?xml version="1.0" encoding="utf-8"?>
<w:webSettings xmlns:r="http://schemas.openxmlformats.org/officeDocument/2006/relationships" xmlns:w="http://schemas.openxmlformats.org/wordprocessingml/2006/main">
  <w:divs>
    <w:div w:id="240533021">
      <w:bodyDiv w:val="1"/>
      <w:marLeft w:val="0"/>
      <w:marRight w:val="0"/>
      <w:marTop w:val="0"/>
      <w:marBottom w:val="0"/>
      <w:divBdr>
        <w:top w:val="none" w:sz="0" w:space="0" w:color="auto"/>
        <w:left w:val="none" w:sz="0" w:space="0" w:color="auto"/>
        <w:bottom w:val="none" w:sz="0" w:space="0" w:color="auto"/>
        <w:right w:val="none" w:sz="0" w:space="0" w:color="auto"/>
      </w:divBdr>
    </w:div>
    <w:div w:id="592476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B92107-D17C-401B-81C1-C8FEE5432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16</Pages>
  <Words>5761</Words>
  <Characters>32841</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HS LQLT theo 10 chương</vt:lpstr>
    </vt:vector>
  </TitlesOfParts>
  <Company>HP</Company>
  <LinksUpToDate>false</LinksUpToDate>
  <CharactersWithSpaces>38525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 LQLT theo 10 chương</dc:title>
  <dc:creator>Kien, Nguyen Tien Kien (CS-CT)</dc:creator>
  <cp:lastModifiedBy>admin</cp:lastModifiedBy>
  <cp:revision>24</cp:revision>
  <dcterms:created xsi:type="dcterms:W3CDTF">2025-08-25T03:18:00Z</dcterms:created>
  <dcterms:modified xsi:type="dcterms:W3CDTF">2025-08-25T11:17:00Z</dcterms:modified>
</cp:coreProperties>
</file>